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二〇二〇年八月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v:textbox>
              </v: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fill on="t" focussize="0,0"/>
                <v:stroke on="f" weight="1pt" miterlimit="8" joinstyle="miter"/>
                <v:imagedata o:title=""/>
                <o:lock v:ext="edit" aspectratio="f"/>
              </v:shape>
            </w:pict>
          </mc:Fallback>
        </mc:AlternateContent>
      </w:r>
      <w:r>
        <w:rPr>
          <w:sz w:val="21"/>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3221619712"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157666406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rPr>
          <w:rFonts w:hint="eastAsia"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hint="eastAsia" w:ascii="黑体" w:hAnsi="Times New Roman" w:eastAsia="黑体" w:cs="Times New Roman"/>
          <w:sz w:val="48"/>
          <w:szCs w:val="48"/>
          <w:lang w:eastAsia="zh-CN"/>
        </w:rPr>
      </w:pPr>
      <w:r>
        <w:rPr>
          <w:rFonts w:hint="eastAsia" w:ascii="黑体" w:hAnsi="Times New Roman" w:eastAsia="黑体" w:cs="Times New Roman"/>
          <w:sz w:val="48"/>
          <w:szCs w:val="48"/>
          <w:lang w:eastAsia="zh-CN"/>
        </w:rPr>
        <w:tab/>
      </w:r>
    </w:p>
    <w:p>
      <w:pPr>
        <w:jc w:val="both"/>
        <w:rPr>
          <w:rFonts w:hint="eastAsia" w:ascii="黑体" w:hAnsi="黑体" w:eastAsia="黑体" w:cs="黑体"/>
          <w:sz w:val="56"/>
          <w:szCs w:val="72"/>
          <w:lang w:val="en-US" w:eastAsia="zh-CN"/>
        </w:rPr>
      </w:pPr>
    </w:p>
    <w:p>
      <w:pPr>
        <w:jc w:val="both"/>
        <w:rPr>
          <w:rFonts w:hint="eastAsia" w:ascii="黑体" w:hAnsi="黑体" w:eastAsia="黑体" w:cs="黑体"/>
          <w:b/>
          <w:bCs/>
          <w:sz w:val="72"/>
          <w:szCs w:val="96"/>
          <w:lang w:val="en-US" w:eastAsia="zh-CN"/>
        </w:rPr>
      </w:pPr>
      <w:r>
        <w:rPr>
          <w:rFonts w:hint="eastAsia" w:ascii="黑体" w:hAnsi="黑体" w:eastAsia="黑体" w:cs="黑体"/>
          <w:b/>
          <w:bCs/>
          <w:sz w:val="72"/>
          <w:szCs w:val="96"/>
          <w:lang w:val="en-US" w:eastAsia="zh-CN"/>
        </w:rPr>
        <w:t>2019年度部门决算公开文本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highlight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内丘县人力资源和社会保障局</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rtlGutter w:val="0"/>
          <w:docGrid w:type="lines" w:linePitch="312" w:charSpace="0"/>
        </w:sect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二〇二〇年八月</w:t>
      </w:r>
      <w:bookmarkStart w:id="0" w:name="_GoBack"/>
      <w:bookmarkEnd w:id="0"/>
    </w:p>
    <w:p>
      <w:pPr>
        <w:pageBreakBefore w:val="0"/>
        <w:widowControl/>
        <w:kinsoku/>
        <w:wordWrap/>
        <w:overflowPunct/>
        <w:topLinePunct w:val="0"/>
        <w:autoSpaceDE/>
        <w:autoSpaceDN/>
        <w:bidi w:val="0"/>
        <w:adjustRightInd/>
        <w:snapToGrid/>
        <w:spacing w:after="0" w:line="600" w:lineRule="exact"/>
        <w:jc w:val="left"/>
        <w:textAlignment w:val="auto"/>
        <w:rPr>
          <w:rFonts w:hint="eastAsia" w:ascii="黑体" w:hAnsi="黑体" w:eastAsia="黑体" w:cs="黑体"/>
          <w:b w:val="0"/>
          <w:bCs/>
          <w:sz w:val="32"/>
          <w:szCs w:val="32"/>
          <w:highlight w:val="yellow"/>
          <w:lang w:val="en-US" w:eastAsia="zh-CN"/>
        </w:rPr>
      </w:pP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w:t>
      </w:r>
      <w:r>
        <w:rPr>
          <w:rFonts w:hint="eastAsia" w:ascii="黑体" w:hAnsi="Times New Roman" w:eastAsia="黑体" w:cs="Times New Roman"/>
          <w:sz w:val="48"/>
          <w:szCs w:val="48"/>
          <w:lang w:val="en-US" w:eastAsia="zh-CN"/>
        </w:rPr>
        <w:t xml:space="preserve">    </w:t>
      </w:r>
      <w:r>
        <w:rPr>
          <w:rFonts w:hint="eastAsia" w:ascii="黑体" w:hAnsi="Times New Roman" w:eastAsia="黑体" w:cs="Times New Roman"/>
          <w:sz w:val="48"/>
          <w:szCs w:val="48"/>
        </w:rPr>
        <w:t>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rtlGutter w:val="0"/>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5"/>
                <v:stroke weight="1pt" color="#FFD966 [3204]" joinstyle="round"/>
                <v:imagedata o:title=""/>
                <o:lock v:ext="edit" aspectratio="f"/>
                <v:textbo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（一）贯彻、执行国家和省、市人力资源和社会保障工作的</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方针政策、法律法规和规章。拟订全县人力资源和社会保障事业发展政策、规划并组织实施。</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（二）拟订人力资源市场发展规划和人力资源服务业发展、</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人力资源流动政策，促进人力资源合理流动、有效配置。按照管</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理权限贯彻落实人员（不含公务员）调配政策和特殊人员安置政</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策。按照管理权限对本部门依法设定的行政许可进行监督。</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（三）负责促进就业创业工作，拟订统筹城乡的就业发展规</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划和促进就业创业扶持政策，完善公共就业服务体系，促进公平</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就业，统筹建立和实施面向城乡劳动者的职业技能培训制度，拟</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定全县技工学校和职业培训机构发展规划和管理规划并组织实</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施。加强就业服务和就业培训，拟订并组织实施就业援助制度，</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牵头拟订高校毕业生就业政策，按规定负责中专以上毕业生（非</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师范类）的就业工作。</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（四）统筹推进建立覆盖城乡的多层次社会保障体系。组织</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实施养老、失业、工伤等社会保险及其补充保险政策和标准。组</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织实施养老保险省级统筹办法和全省统一的养老、失业、工伤保</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险关系转续办法和基金统筹办法，拟订和组织实施养老、失业、</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工伤等社会保险及其补充保险基金管理和监督制度，审核汇总相</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关社会保险基金预决算草案，组织实施企业年金和职业年金政策，参与拟订相关社会保险基金投资政策。会同有关部门实施全民参保计划并建立全县统一的社会保险公共服务平台。</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（五）负责就业、失业和相关社会保险基金预测预警和信息</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引导，拟订应对预案，实施预防、调节和控制，保持就业形势稳</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定和社会保险基金总体收支平衡。</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（六）组织实施劳动、人事争议调解仲裁制度和劳动关系政</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策，落实完善劳动关系协商协调机制，组织实施职工工作时间、</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休息休假和假期相关政策，组织实施消除非法使用童工政策和女</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工、未成年工的特殊劳动保护政策，组织实施劳动保障监察，协</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调劳动者维权工作，依法查处违法案件。</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（七）会同有关部门拟订人才工作有关目标，参与全县人才</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工作的指导、组织、协调和管理，承办有关人才工作。推动建立</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健全市场化、社会化的人才管理服务体系。负责人事考试工作。</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负责人才分类评价机制推进实施，牵头组织实施深化职称制度改</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革，组织实施全县专业技术人员管理、继续教育和博士后管理等</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政策，负责相关高层次专业技术人才选拔和培养，组织实施吸引</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留学人员来内丘（回国）工作或定居政策。组织实施技能人才培</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养、评价、使用和激励制度。组织实施职业资格制度，健全职业</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技能多元化评价政策。</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（八）会同有关部门指导和开展全县事业单位人事制度改革，按照管理权限负责规范事业单位岗位设置、公开招聘、聘用合同等人事综合管理工作，组织实施事业单位工作人员和机关工勤人员管理政策。</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（九）负责全县评比达标表彰和创建示范工作的综合管理、审核备案、监督检查。会同有关部门拟定和组织实施全县表彰奖</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励办法（不含中国共产党党内表彰、公务员奖励） ，组织指导全县开展评比达标表彰活动。负责全县功勋荣誉表彰奖励获得者管理，组织落实享受待遇的相关政策。承担县评比达标表彰具体工作。</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（十）会同有关部门拟定和实施全县事业单位人员工资收入</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分配政策。建立全县企事业单位人员工资决定、正常增长和支付</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保障机制。拟定和组织实施企事业单位人员福利和离退休政策，</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并负责监督检查。</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（十一）拟订农民工工作综合性政策和规划，并组织实施，</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推动相关政策的落实，协调解决重点难点问题，维护农民工合法</w:t>
      </w:r>
    </w:p>
    <w:p>
      <w:pPr>
        <w:pageBreakBefore w:val="0"/>
        <w:widowControl/>
        <w:kinsoku/>
        <w:wordWrap/>
        <w:overflowPunct/>
        <w:topLinePunct w:val="0"/>
        <w:autoSpaceDE/>
        <w:autoSpaceDN/>
        <w:bidi w:val="0"/>
        <w:adjustRightInd/>
        <w:snapToGrid/>
        <w:spacing w:line="580" w:lineRule="exact"/>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权益。</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ArialUnicodeMS" w:hAnsiTheme="minorHAnsi"/>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（十二）负责机关及所属单位国际交流与合作。</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Calibri" w:eastAsia="仿宋_GB2312" w:cs="ArialUnicodeMS"/>
          <w:color w:val="auto"/>
          <w:kern w:val="0"/>
          <w:sz w:val="32"/>
          <w:szCs w:val="32"/>
          <w:highlight w:val="none"/>
          <w:shd w:val="clear" w:color="auto" w:fill="auto"/>
        </w:rPr>
      </w:pPr>
      <w:r>
        <w:rPr>
          <w:rFonts w:hint="eastAsia" w:ascii="仿宋_GB2312" w:eastAsia="仿宋_GB2312" w:cs="ArialUnicodeMS" w:hAnsiTheme="minorHAnsi"/>
          <w:color w:val="auto"/>
          <w:kern w:val="0"/>
          <w:sz w:val="32"/>
          <w:szCs w:val="32"/>
          <w:highlight w:val="none"/>
          <w:shd w:val="clear" w:color="auto" w:fill="auto"/>
        </w:rPr>
        <w:t>（十三）完成县委、县政府交办的其他事项。</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0"/>
        <w:rPr>
          <w:rFonts w:hint="eastAsia" w:ascii="黑体" w:hAnsi="Calibri" w:eastAsia="黑体" w:cs="黑体"/>
          <w:b w:val="0"/>
          <w:bCs w:val="0"/>
          <w:kern w:val="0"/>
          <w:sz w:val="32"/>
          <w:szCs w:val="32"/>
          <w:lang w:val="en-US" w:eastAsia="zh-CN" w:bidi="ar-SA"/>
        </w:rPr>
      </w:pPr>
      <w:r>
        <w:rPr>
          <w:rFonts w:hint="eastAsia" w:ascii="黑体" w:hAnsi="Calibri" w:eastAsia="黑体" w:cs="黑体"/>
          <w:b w:val="0"/>
          <w:bCs w:val="0"/>
          <w:kern w:val="0"/>
          <w:sz w:val="32"/>
          <w:szCs w:val="32"/>
          <w:lang w:val="en-US" w:eastAsia="zh-CN" w:bidi="ar-SA"/>
        </w:rPr>
        <w:t>二、机构设置</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从决算编报单位构成看，纳入</w:t>
      </w:r>
      <w:r>
        <w:rPr>
          <w:rFonts w:hint="eastAsia" w:ascii="仿宋_GB2312" w:hAnsi="Calibri" w:eastAsia="仿宋_GB2312" w:cs="ArialUnicodeMS"/>
          <w:kern w:val="0"/>
          <w:sz w:val="32"/>
          <w:szCs w:val="32"/>
          <w:lang w:eastAsia="zh-CN"/>
        </w:rPr>
        <w:t>2019</w:t>
      </w:r>
      <w:r>
        <w:rPr>
          <w:rFonts w:hint="eastAsia" w:ascii="仿宋_GB2312" w:hAnsi="Calibri" w:eastAsia="仿宋_GB2312" w:cs="ArialUnicodeMS"/>
          <w:kern w:val="0"/>
          <w:sz w:val="32"/>
          <w:szCs w:val="32"/>
        </w:rPr>
        <w:t xml:space="preserve"> 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w:t>
      </w:r>
      <w:r>
        <w:rPr>
          <w:rFonts w:hint="eastAsia" w:ascii="仿宋_GB2312" w:hAnsi="Calibri" w:eastAsia="仿宋_GB2312" w:cs="ArialUnicodeMS"/>
          <w:kern w:val="0"/>
          <w:sz w:val="32"/>
          <w:szCs w:val="32"/>
          <w:lang w:val="en-US" w:eastAsia="zh-CN"/>
        </w:rPr>
        <w:t>具体情况如下：</w:t>
      </w:r>
    </w:p>
    <w:tbl>
      <w:tblPr>
        <w:tblStyle w:val="8"/>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序号</w:t>
            </w:r>
          </w:p>
        </w:tc>
        <w:tc>
          <w:tcPr>
            <w:tcW w:w="348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单位名称</w:t>
            </w:r>
          </w:p>
        </w:tc>
        <w:tc>
          <w:tcPr>
            <w:tcW w:w="244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单位基本性质</w:t>
            </w:r>
          </w:p>
        </w:tc>
        <w:tc>
          <w:tcPr>
            <w:tcW w:w="266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1</w:t>
            </w:r>
          </w:p>
        </w:tc>
        <w:tc>
          <w:tcPr>
            <w:tcW w:w="3485" w:type="dxa"/>
            <w:vAlign w:val="top"/>
          </w:tcPr>
          <w:p>
            <w:pPr>
              <w:spacing w:after="0" w:line="560" w:lineRule="exact"/>
              <w:rPr>
                <w:rFonts w:hint="eastAsia"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内丘县人力资源和社会保障局(本级)</w:t>
            </w:r>
          </w:p>
        </w:tc>
        <w:tc>
          <w:tcPr>
            <w:tcW w:w="2445" w:type="dxa"/>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32"/>
                <w:szCs w:val="32"/>
                <w:lang w:eastAsia="zh-CN"/>
              </w:rPr>
              <w:t>行政单位</w:t>
            </w:r>
          </w:p>
        </w:tc>
        <w:tc>
          <w:tcPr>
            <w:tcW w:w="2665" w:type="dxa"/>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spacing w:after="0" w:line="560" w:lineRule="exact"/>
              <w:ind w:firstLine="560" w:firstLineChars="200"/>
              <w:jc w:val="left"/>
              <w:rPr>
                <w:rFonts w:hint="default" w:ascii="仿宋_GB2312" w:hAnsi="Calibri" w:eastAsia="仿宋_GB2312" w:cs="ArialUnicodeMS"/>
                <w:kern w:val="0"/>
                <w:sz w:val="28"/>
                <w:szCs w:val="28"/>
                <w:vertAlign w:val="baseline"/>
                <w:lang w:val="en-US" w:eastAsia="zh-CN"/>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rtlGutter w:val="0"/>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0" w:num="1"/>
          <w:titlePg/>
          <w:rtlGutter w:val="0"/>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rtlGutter w:val="0"/>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5"/>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v:textbox>
              </v:shape>
            </w:pict>
          </mc:Fallback>
        </mc:AlternateContent>
      </w: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一、收入</w:t>
      </w:r>
      <w:r>
        <w:rPr>
          <w:rFonts w:hint="eastAsia" w:ascii="黑体" w:hAnsi="Cambria" w:eastAsia="黑体" w:cs="黑体"/>
          <w:b w:val="0"/>
          <w:bCs w:val="0"/>
          <w:kern w:val="0"/>
          <w:sz w:val="32"/>
          <w:szCs w:val="32"/>
          <w:lang w:val="en-US" w:eastAsia="zh-CN" w:bidi="ar-SA"/>
        </w:rPr>
        <w:t>支出</w:t>
      </w:r>
      <w:r>
        <w:rPr>
          <w:rFonts w:hint="eastAsia" w:ascii="黑体" w:hAnsi="Calibri" w:eastAsia="黑体" w:cs="Times New Roman"/>
          <w:b w:val="0"/>
          <w:bCs w:val="0"/>
          <w:kern w:val="2"/>
          <w:sz w:val="32"/>
          <w:szCs w:val="32"/>
          <w:lang w:val="en-US" w:eastAsia="zh-CN" w:bidi="ar-SA"/>
        </w:rPr>
        <w:t>决算总体情况说明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收支总计（含</w:t>
      </w:r>
      <w:r>
        <w:rPr>
          <w:rFonts w:hint="eastAsia" w:ascii="仿宋_GB2312" w:hAnsi="Times New Roman" w:eastAsia="仿宋_GB2312" w:cs="DengXian-Regular"/>
          <w:sz w:val="32"/>
          <w:szCs w:val="32"/>
        </w:rPr>
        <w:t>结转和结余</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17260.5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w:t>
      </w:r>
      <w:r>
        <w:rPr>
          <w:rFonts w:hint="eastAsia" w:ascii="仿宋_GB2312" w:hAnsi="Times New Roman" w:eastAsia="仿宋_GB2312" w:cs="DengXian-Regular"/>
          <w:sz w:val="32"/>
          <w:szCs w:val="32"/>
          <w:lang w:eastAsia="zh-CN"/>
        </w:rPr>
        <w:t>2018年</w:t>
      </w:r>
      <w:r>
        <w:rPr>
          <w:rFonts w:hint="eastAsia" w:ascii="仿宋_GB2312" w:hAnsi="Times New Roman" w:eastAsia="仿宋_GB2312" w:cs="DengXian-Regular"/>
          <w:sz w:val="32"/>
          <w:szCs w:val="32"/>
        </w:rPr>
        <w:t>度决算相比，</w:t>
      </w:r>
      <w:r>
        <w:rPr>
          <w:rFonts w:hint="eastAsia" w:ascii="仿宋_GB2312" w:hAnsi="Times New Roman" w:eastAsia="仿宋_GB2312" w:cs="DengXian-Regular"/>
          <w:sz w:val="32"/>
          <w:szCs w:val="32"/>
          <w:lang w:val="en-US" w:eastAsia="zh-CN"/>
        </w:rPr>
        <w:t>收入减少7583.5万元，下降31%，支出减少7603.8万元，下降31%，</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val="en-US" w:eastAsia="zh-CN"/>
        </w:rPr>
        <w:t>原因我县进行</w:t>
      </w:r>
      <w:r>
        <w:rPr>
          <w:rFonts w:hint="eastAsia" w:ascii="仿宋" w:hAnsi="仿宋" w:eastAsia="仿宋"/>
          <w:sz w:val="32"/>
          <w:szCs w:val="32"/>
          <w:lang w:eastAsia="zh-CN"/>
        </w:rPr>
        <w:t>机构改革，医疗保险补助资金收入部分划转至内丘县医疗保障局</w:t>
      </w:r>
      <w:r>
        <w:rPr>
          <w:rFonts w:hint="eastAsia" w:ascii="仿宋_GB2312" w:hAnsi="Times New Roman" w:eastAsia="仿宋_GB2312" w:cs="DengXian-Regular"/>
          <w:sz w:val="32"/>
          <w:szCs w:val="32"/>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二、收入决算情况说明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度本年收入合计</w:t>
      </w:r>
      <w:r>
        <w:rPr>
          <w:rFonts w:hint="eastAsia" w:ascii="仿宋_GB2312" w:hAnsi="Times New Roman" w:eastAsia="仿宋_GB2312" w:cs="DengXian-Regular"/>
          <w:sz w:val="32"/>
          <w:szCs w:val="32"/>
          <w:lang w:val="en-US" w:eastAsia="zh-CN"/>
        </w:rPr>
        <w:t>17243</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17243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三、支出决算情况说明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度本年支出合计</w:t>
      </w:r>
      <w:r>
        <w:rPr>
          <w:rFonts w:hint="eastAsia" w:ascii="仿宋_GB2312" w:hAnsi="Times New Roman" w:eastAsia="仿宋_GB2312" w:cs="DengXian-Regular"/>
          <w:sz w:val="32"/>
          <w:szCs w:val="32"/>
          <w:lang w:val="en-US" w:eastAsia="zh-CN"/>
        </w:rPr>
        <w:t>17243</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880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16363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95</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四、</w:t>
      </w:r>
      <w:r>
        <w:rPr>
          <w:rFonts w:hint="eastAsia" w:ascii="黑体" w:hAnsi="Cambria" w:eastAsia="黑体" w:cs="黑体"/>
          <w:b w:val="0"/>
          <w:bCs w:val="0"/>
          <w:kern w:val="0"/>
          <w:sz w:val="32"/>
          <w:szCs w:val="32"/>
          <w:lang w:val="en-US" w:eastAsia="zh-CN" w:bidi="ar-SA"/>
        </w:rPr>
        <w:t>财政</w:t>
      </w:r>
      <w:r>
        <w:rPr>
          <w:rFonts w:hint="eastAsia" w:ascii="黑体" w:hAnsi="Calibri" w:eastAsia="黑体" w:cs="Times New Roman"/>
          <w:b w:val="0"/>
          <w:bCs w:val="0"/>
          <w:kern w:val="2"/>
          <w:sz w:val="32"/>
          <w:szCs w:val="32"/>
          <w:lang w:val="en-US" w:eastAsia="zh-CN" w:bidi="ar-SA"/>
        </w:rPr>
        <w:t>拨款收入支出决算总体情况说明</w:t>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hint="eastAsia" w:ascii="楷体_GB2312" w:hAnsi="Times New Roman" w:eastAsia="楷体_GB2312" w:cs="DengXian-Bold"/>
          <w:b/>
          <w:bCs/>
          <w:sz w:val="32"/>
          <w:szCs w:val="32"/>
          <w:lang w:eastAsia="zh-CN"/>
        </w:rPr>
        <w:t>2018</w:t>
      </w:r>
      <w:r>
        <w:rPr>
          <w:rFonts w:hint="eastAsia" w:ascii="楷体_GB2312" w:hAnsi="Times New Roman" w:eastAsia="楷体_GB2312" w:cs="DengXian-Bold"/>
          <w:b/>
          <w:bCs/>
          <w:sz w:val="32"/>
          <w:szCs w:val="32"/>
        </w:rPr>
        <w:t xml:space="preserve"> 年度决算对比情况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形成的财政拨款收支均为一般公共预算</w:t>
      </w:r>
      <w:r>
        <w:rPr>
          <w:rFonts w:hint="eastAsia" w:ascii="仿宋_GB2312" w:hAnsi="Times New Roman" w:eastAsia="仿宋_GB2312" w:cs="DengXian-Regular"/>
          <w:sz w:val="32"/>
          <w:szCs w:val="32"/>
        </w:rPr>
        <w:t>财政拨款</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其中本年收入17243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,比2018年度</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7583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我县进行行政事业单位</w:t>
      </w:r>
      <w:r>
        <w:rPr>
          <w:rFonts w:hint="eastAsia" w:ascii="仿宋" w:hAnsi="仿宋" w:eastAsia="仿宋"/>
          <w:sz w:val="32"/>
          <w:szCs w:val="32"/>
          <w:lang w:eastAsia="zh-CN"/>
        </w:rPr>
        <w:t>机构改革，医疗保险补助资金收入部分划转至内丘县医疗保障局</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本年</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17243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7604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我县进行行政事业单位</w:t>
      </w:r>
      <w:r>
        <w:rPr>
          <w:rFonts w:hint="eastAsia" w:ascii="仿宋" w:hAnsi="仿宋" w:eastAsia="仿宋"/>
          <w:sz w:val="32"/>
          <w:szCs w:val="32"/>
          <w:lang w:eastAsia="zh-CN"/>
        </w:rPr>
        <w:t>机构改革，医疗保险补助资金收入部分划转至内丘县医疗保障局</w:t>
      </w:r>
      <w:r>
        <w:rPr>
          <w:rFonts w:hint="eastAsia" w:ascii="仿宋_GB2312" w:hAnsi="Times New Roman" w:eastAsia="仿宋_GB2312" w:cs="DengXian-Regular"/>
          <w:sz w:val="32"/>
          <w:szCs w:val="32"/>
        </w:rPr>
        <w:t>。</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highlight w:val="none"/>
          <w:lang w:val="en-US" w:eastAsia="zh-CN"/>
        </w:rPr>
      </w:pPr>
      <w:r>
        <w:rPr>
          <w:rFonts w:hint="eastAsia" w:ascii="仿宋_GB2312" w:hAnsi="Times New Roman" w:eastAsia="仿宋_GB2312" w:cs="DengXian-Regular"/>
          <w:sz w:val="32"/>
          <w:szCs w:val="32"/>
          <w:highlight w:val="none"/>
          <w:lang w:val="en-US" w:eastAsia="zh-CN"/>
        </w:rPr>
        <w:t>我单位无政府基金预算收支情况。</w:t>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一般公共预算</w:t>
      </w:r>
      <w:r>
        <w:rPr>
          <w:rFonts w:hint="eastAsia" w:ascii="仿宋_GB2312" w:hAnsi="Times New Roman" w:eastAsia="仿宋_GB2312" w:cs="DengXian-Regular"/>
          <w:sz w:val="32"/>
          <w:szCs w:val="32"/>
        </w:rPr>
        <w:t>财政拨款收入</w:t>
      </w:r>
      <w:r>
        <w:rPr>
          <w:rFonts w:hint="eastAsia" w:ascii="仿宋_GB2312" w:hAnsi="Times New Roman" w:eastAsia="仿宋_GB2312" w:cs="DengXian-Regular"/>
          <w:sz w:val="32"/>
          <w:szCs w:val="32"/>
          <w:lang w:val="en-US" w:eastAsia="zh-CN"/>
        </w:rPr>
        <w:t>20688万元，完成年初预算的83%（如图4）,比年初预算减</w:t>
      </w:r>
      <w:r>
        <w:rPr>
          <w:rFonts w:hint="eastAsia" w:ascii="仿宋_GB2312" w:hAnsi="Times New Roman" w:eastAsia="仿宋_GB2312" w:cs="DengXian-Regular"/>
          <w:sz w:val="32"/>
          <w:szCs w:val="32"/>
        </w:rPr>
        <w:t>少</w:t>
      </w:r>
      <w:r>
        <w:rPr>
          <w:rFonts w:hint="eastAsia" w:ascii="仿宋_GB2312" w:hAnsi="Times New Roman" w:eastAsia="仿宋_GB2312" w:cs="DengXian-Regular"/>
          <w:sz w:val="32"/>
          <w:szCs w:val="32"/>
          <w:lang w:val="en-US" w:eastAsia="zh-CN"/>
        </w:rPr>
        <w:t>3445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决算数小于预算数主要原因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val="en-US" w:eastAsia="zh-CN"/>
        </w:rPr>
        <w:t>我县2019年上半年进行行政事业单位</w:t>
      </w:r>
      <w:r>
        <w:rPr>
          <w:rFonts w:hint="eastAsia" w:ascii="仿宋" w:hAnsi="仿宋" w:eastAsia="仿宋"/>
          <w:sz w:val="32"/>
          <w:szCs w:val="32"/>
          <w:lang w:eastAsia="zh-CN"/>
        </w:rPr>
        <w:t>机构改革，医疗保险补助资金收入部份划转至内丘县医疗保障局；</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17243万元，完成年初预算的83%,比年初预算减</w:t>
      </w:r>
      <w:r>
        <w:rPr>
          <w:rFonts w:hint="eastAsia" w:ascii="仿宋_GB2312" w:hAnsi="Times New Roman" w:eastAsia="仿宋_GB2312" w:cs="DengXian-Regular"/>
          <w:sz w:val="32"/>
          <w:szCs w:val="32"/>
        </w:rPr>
        <w:t>少</w:t>
      </w:r>
      <w:r>
        <w:rPr>
          <w:rFonts w:hint="eastAsia" w:ascii="仿宋_GB2312" w:hAnsi="Times New Roman" w:eastAsia="仿宋_GB2312" w:cs="DengXian-Regular"/>
          <w:sz w:val="32"/>
          <w:szCs w:val="32"/>
          <w:lang w:val="en-US" w:eastAsia="zh-CN"/>
        </w:rPr>
        <w:t>3445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决算数小于预算数主要原因</w:t>
      </w:r>
      <w:r>
        <w:rPr>
          <w:rFonts w:hint="eastAsia" w:ascii="仿宋_GB2312" w:hAnsi="Times New Roman" w:eastAsia="仿宋_GB2312" w:cs="DengXian-Regular"/>
          <w:sz w:val="32"/>
          <w:szCs w:val="32"/>
        </w:rPr>
        <w:t>是主要是</w:t>
      </w:r>
      <w:r>
        <w:rPr>
          <w:rFonts w:hint="eastAsia" w:ascii="仿宋_GB2312" w:hAnsi="Times New Roman" w:eastAsia="仿宋_GB2312" w:cs="DengXian-Regular"/>
          <w:sz w:val="32"/>
          <w:szCs w:val="32"/>
          <w:lang w:val="en-US" w:eastAsia="zh-CN"/>
        </w:rPr>
        <w:t>我县2019年上半年进行行政事业单位</w:t>
      </w:r>
      <w:r>
        <w:rPr>
          <w:rFonts w:hint="eastAsia" w:ascii="仿宋" w:hAnsi="仿宋" w:eastAsia="仿宋"/>
          <w:sz w:val="32"/>
          <w:szCs w:val="32"/>
          <w:lang w:eastAsia="zh-CN"/>
        </w:rPr>
        <w:t>机构改革，医疗保险补助资金收入部份划转至内丘县医疗保障局</w:t>
      </w:r>
      <w:r>
        <w:rPr>
          <w:rFonts w:hint="eastAsia" w:ascii="仿宋_GB2312" w:hAnsi="Times New Roman" w:eastAsia="仿宋_GB2312" w:cs="DengXian-Regular"/>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Chars="200" w:right="0" w:rightChars="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财政拨款支出决算结构情况。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楷体_GB2312" w:hAnsi="Times New Roman" w:eastAsia="楷体_GB2312" w:cs="DengXian-Bold"/>
          <w:b/>
          <w:bCs/>
          <w:sz w:val="32"/>
          <w:szCs w:val="32"/>
          <w:lang w:val="en-US" w:eastAsia="zh-CN"/>
        </w:rPr>
      </w:pPr>
      <w:r>
        <w:rPr>
          <w:rFonts w:hint="eastAsia" w:ascii="仿宋_GB2312" w:hAnsi="Times New Roman" w:eastAsia="仿宋_GB2312" w:cs="DengXian-Regular"/>
          <w:sz w:val="32"/>
          <w:szCs w:val="32"/>
          <w:lang w:val="en-US" w:eastAsia="zh-CN"/>
        </w:rPr>
        <w:t>2019 年度财政拨款支出17243万元，主要用于以下方面社会保障和就业（类）支出8674万元，占50.3%；卫生健康支出8453万元，占49%，农林水支出34万元，占0.2%住房保障（类）支出81万元，占0.5%。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（四）一般公共预算基本支出决算情况说明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b w:val="0"/>
          <w:bCs w:val="0"/>
          <w:kern w:val="2"/>
          <w:sz w:val="32"/>
          <w:szCs w:val="32"/>
          <w:lang w:val="en-US" w:eastAsia="zh-CN" w:bidi="ar-SA"/>
        </w:rPr>
      </w:pPr>
      <w:r>
        <w:rPr>
          <w:rFonts w:hint="eastAsia" w:ascii="仿宋_GB2312" w:hAnsi="Times New Roman" w:eastAsia="仿宋_GB2312" w:cs="DengXian-Regular"/>
          <w:b w:val="0"/>
          <w:bCs w:val="0"/>
          <w:kern w:val="2"/>
          <w:sz w:val="32"/>
          <w:szCs w:val="32"/>
          <w:lang w:val="en-US" w:eastAsia="zh-CN" w:bidi="ar-SA"/>
        </w:rPr>
        <w:t>2019 年度财政拨款基本支出880.2万元，其中：人员经费 788.4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91.8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hint="eastAsia"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五、一般公共预算“三公” 经费支出决算情况说明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度“三公”经费支出共计</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b w:val="0"/>
          <w:bCs w:val="0"/>
          <w:sz w:val="32"/>
          <w:szCs w:val="32"/>
        </w:rPr>
        <w:t>较预算</w:t>
      </w:r>
      <w:r>
        <w:rPr>
          <w:rFonts w:hint="eastAsia" w:ascii="仿宋_GB2312" w:hAnsi="Times New Roman" w:eastAsia="仿宋_GB2312" w:cs="DengXian-Regular"/>
          <w:b w:val="0"/>
          <w:bCs w:val="0"/>
          <w:sz w:val="32"/>
          <w:szCs w:val="32"/>
          <w:lang w:eastAsia="zh-CN"/>
        </w:rPr>
        <w:t>无变化；</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2018</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度增加</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新增</w:t>
      </w:r>
      <w:r>
        <w:rPr>
          <w:rFonts w:hint="eastAsia" w:ascii="仿宋_GB2312" w:hAnsi="Times New Roman" w:eastAsia="仿宋_GB2312" w:cs="DengXian-Regular"/>
          <w:sz w:val="32"/>
          <w:szCs w:val="32"/>
          <w:lang w:val="en-US" w:eastAsia="zh-CN"/>
        </w:rPr>
        <w:t>1辆</w:t>
      </w:r>
      <w:r>
        <w:rPr>
          <w:rFonts w:hint="eastAsia" w:ascii="仿宋_GB2312" w:hAnsi="Times New Roman" w:eastAsia="仿宋_GB2312" w:cs="DengXian-Regular"/>
          <w:sz w:val="32"/>
          <w:szCs w:val="32"/>
          <w:lang w:eastAsia="zh-CN"/>
        </w:rPr>
        <w:t>事业用车</w:t>
      </w:r>
      <w:r>
        <w:rPr>
          <w:rFonts w:hint="eastAsia" w:ascii="仿宋_GB2312" w:hAnsi="Times New Roman" w:eastAsia="仿宋_GB2312" w:cs="DengXian-Regular"/>
          <w:sz w:val="32"/>
          <w:szCs w:val="32"/>
        </w:rPr>
        <w:t>。具体情况如下：</w:t>
      </w:r>
    </w:p>
    <w:p>
      <w:pPr>
        <w:pageBreakBefore w:val="0"/>
        <w:widowControl w:val="0"/>
        <w:numPr>
          <w:ilvl w:val="0"/>
          <w:numId w:val="2"/>
        </w:numPr>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因公出国（境）费</w:t>
      </w:r>
      <w:r>
        <w:rPr>
          <w:rFonts w:hint="eastAsia" w:ascii="楷体_GB2312" w:hAnsi="Times New Roman" w:eastAsia="楷体_GB2312" w:cs="DengXian-Bold"/>
          <w:b/>
          <w:bCs/>
          <w:sz w:val="32"/>
          <w:szCs w:val="32"/>
          <w:lang w:eastAsia="zh-CN"/>
        </w:rPr>
        <w:t>支出</w:t>
      </w:r>
      <w:r>
        <w:rPr>
          <w:rFonts w:hint="eastAsia" w:ascii="楷体_GB2312" w:hAnsi="Times New Roman" w:eastAsia="楷体_GB2312" w:cs="DengXian-Bold"/>
          <w:b/>
          <w:bCs/>
          <w:sz w:val="32"/>
          <w:szCs w:val="32"/>
        </w:rPr>
        <w:t>。</w:t>
      </w:r>
    </w:p>
    <w:p>
      <w:pPr>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楷体_GB2312" w:hAnsi="Times New Roman" w:eastAsia="仿宋_GB2312" w:cs="DengXian-Bold"/>
          <w:b/>
          <w:bCs/>
          <w:sz w:val="32"/>
          <w:szCs w:val="32"/>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未发生此类支出。</w:t>
      </w:r>
    </w:p>
    <w:p>
      <w:pPr>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（二）公务用车运行维护费支出</w:t>
      </w:r>
      <w:r>
        <w:rPr>
          <w:rFonts w:hint="eastAsia" w:ascii="楷体_GB2312" w:hAnsi="Times New Roman" w:eastAsia="楷体_GB2312" w:cs="DengXian-Bold"/>
          <w:b/>
          <w:bCs/>
          <w:sz w:val="32"/>
          <w:szCs w:val="32"/>
          <w:lang w:val="en-US" w:eastAsia="zh-CN"/>
        </w:rPr>
        <w:t>6</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度公务用车购置及运行维护费</w:t>
      </w:r>
      <w:r>
        <w:rPr>
          <w:rFonts w:hint="eastAsia" w:ascii="仿宋_GB2312" w:hAnsi="Times New Roman" w:eastAsia="仿宋_GB2312" w:cs="DengXian-Regular"/>
          <w:sz w:val="32"/>
          <w:szCs w:val="32"/>
          <w:lang w:eastAsia="zh-CN"/>
        </w:rPr>
        <w:t>与年初</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上</w:t>
      </w:r>
      <w:r>
        <w:rPr>
          <w:rFonts w:hint="eastAsia" w:ascii="仿宋_GB2312" w:hAnsi="Times New Roman" w:eastAsia="仿宋_GB2312" w:cs="DengXian-Regular"/>
          <w:sz w:val="32"/>
          <w:szCs w:val="32"/>
          <w:lang w:eastAsia="zh-CN"/>
        </w:rPr>
        <w:t>年增加</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33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新增</w:t>
      </w:r>
      <w:r>
        <w:rPr>
          <w:rFonts w:hint="eastAsia" w:ascii="仿宋_GB2312" w:hAnsi="Times New Roman" w:eastAsia="仿宋_GB2312" w:cs="DengXian-Regular"/>
          <w:sz w:val="32"/>
          <w:szCs w:val="32"/>
          <w:lang w:val="en-US" w:eastAsia="zh-CN"/>
        </w:rPr>
        <w:t>1辆事业要用车</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未发生此类支出。</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，事业用车</w:t>
      </w:r>
      <w:r>
        <w:rPr>
          <w:rFonts w:hint="eastAsia" w:ascii="仿宋_GB2312" w:hAnsi="Times New Roman" w:eastAsia="仿宋_GB2312" w:cs="DengXian-Regular"/>
          <w:sz w:val="32"/>
          <w:szCs w:val="32"/>
          <w:lang w:val="en-US" w:eastAsia="zh-CN"/>
        </w:rPr>
        <w:t>1辆</w:t>
      </w:r>
      <w:r>
        <w:rPr>
          <w:rFonts w:hint="eastAsia" w:ascii="仿宋_GB2312" w:hAnsi="Times New Roman" w:eastAsia="仿宋_GB2312" w:cs="DengXian-Regular"/>
          <w:sz w:val="32"/>
          <w:szCs w:val="32"/>
        </w:rPr>
        <w:t>。公车运行维护费支出</w:t>
      </w:r>
      <w:r>
        <w:rPr>
          <w:rFonts w:hint="eastAsia" w:ascii="仿宋_GB2312" w:hAnsi="Times New Roman" w:eastAsia="仿宋_GB2312" w:cs="DengXian-Regular"/>
          <w:sz w:val="32"/>
          <w:szCs w:val="32"/>
          <w:lang w:eastAsia="zh-CN"/>
        </w:rPr>
        <w:t>与年初</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上</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新增</w:t>
      </w:r>
      <w:r>
        <w:rPr>
          <w:rFonts w:hint="eastAsia" w:ascii="仿宋_GB2312" w:hAnsi="Times New Roman" w:eastAsia="仿宋_GB2312" w:cs="DengXian-Regular"/>
          <w:sz w:val="32"/>
          <w:szCs w:val="32"/>
          <w:lang w:val="en-US" w:eastAsia="zh-CN"/>
        </w:rPr>
        <w:t>1辆事业要用车</w:t>
      </w:r>
      <w:r>
        <w:rPr>
          <w:rFonts w:hint="eastAsia" w:ascii="仿宋_GB2312" w:hAnsi="Times New Roman" w:eastAsia="仿宋_GB2312" w:cs="DengXian-Regular"/>
          <w:sz w:val="32"/>
          <w:szCs w:val="32"/>
        </w:rPr>
        <w:t>。</w:t>
      </w:r>
    </w:p>
    <w:p>
      <w:pPr>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公务接待费支出。</w:t>
      </w:r>
    </w:p>
    <w:p>
      <w:pPr>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未发生此类支出。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黑体" w:hAnsi="Times New Roman" w:eastAsia="黑体" w:cs="Times New Roman"/>
          <w:b w:val="0"/>
          <w:bCs w:val="0"/>
          <w:sz w:val="32"/>
          <w:szCs w:val="40"/>
        </w:rPr>
      </w:pPr>
      <w:r>
        <w:rPr>
          <w:rFonts w:hint="eastAsia" w:ascii="黑体" w:hAnsi="Times New Roman" w:eastAsia="黑体" w:cs="Times New Roman"/>
          <w:b w:val="0"/>
          <w:bCs w:val="0"/>
          <w:sz w:val="32"/>
          <w:szCs w:val="40"/>
        </w:rPr>
        <w:t>六、预算绩效情况说明</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 预算绩效管理工作开展情况。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预算绩效管理要求，本部门组织对2019年度一般公共预算项目支出全面开展绩效自评，共涉及资金1043.5万元，占一般公共预算项目支出总额的16.4%。组织对“城乡居民养老保险县级补贴”“企业养老保险省级统筹制度改革基金缺口”等7个项目开展了部门评价，涉及一般公共预算支出1043.5万元。</w:t>
      </w:r>
      <w:r>
        <w:rPr>
          <w:rFonts w:hint="eastAsia" w:ascii="仿宋_GB2312" w:hAnsi="仿宋_GB2312" w:eastAsia="仿宋_GB2312" w:cs="仿宋_GB2312"/>
          <w:sz w:val="32"/>
          <w:szCs w:val="32"/>
        </w:rPr>
        <w:t>依据各项评价指标的完成情况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评价结果为</w:t>
      </w:r>
      <w:r>
        <w:rPr>
          <w:rFonts w:hint="eastAsia" w:ascii="仿宋_GB2312" w:hAnsi="仿宋_GB2312" w:eastAsia="仿宋_GB2312" w:cs="仿宋_GB2312"/>
          <w:sz w:val="32"/>
          <w:szCs w:val="32"/>
          <w:lang w:eastAsia="zh-CN"/>
        </w:rPr>
        <w:t>良好。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321" w:firstLineChars="1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 部门决算中项目绩效自评结果。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本部门在今年部门决算公开中反映</w:t>
      </w:r>
      <w:r>
        <w:rPr>
          <w:rFonts w:hint="eastAsia" w:ascii="仿宋" w:hAnsi="仿宋" w:eastAsia="仿宋" w:cs="仿宋"/>
          <w:sz w:val="32"/>
          <w:szCs w:val="32"/>
        </w:rPr>
        <w:t>城乡居民社会养老保险基金县级财政补贴</w:t>
      </w:r>
      <w:r>
        <w:rPr>
          <w:rFonts w:hint="eastAsia" w:ascii="仿宋_GB2312" w:hAnsi="仿宋_GB2312" w:eastAsia="仿宋_GB2312" w:cs="仿宋_GB2312"/>
          <w:b w:val="0"/>
          <w:bCs w:val="0"/>
          <w:kern w:val="2"/>
          <w:sz w:val="32"/>
          <w:szCs w:val="32"/>
          <w:lang w:val="en-US" w:eastAsia="zh-CN" w:bidi="ar-SA"/>
        </w:rPr>
        <w:t>项目及</w:t>
      </w:r>
      <w:r>
        <w:rPr>
          <w:rFonts w:hint="eastAsia" w:ascii="仿宋" w:hAnsi="仿宋" w:eastAsia="仿宋" w:cs="仿宋"/>
          <w:sz w:val="32"/>
          <w:szCs w:val="32"/>
          <w:lang w:eastAsia="zh-CN"/>
        </w:rPr>
        <w:t>企业养老保险省级统筹制度改革基金缺口</w:t>
      </w:r>
      <w:r>
        <w:rPr>
          <w:rFonts w:hint="eastAsia" w:ascii="仿宋_GB2312" w:hAnsi="仿宋_GB2312" w:eastAsia="仿宋_GB2312" w:cs="仿宋_GB2312"/>
          <w:b w:val="0"/>
          <w:bCs w:val="0"/>
          <w:kern w:val="2"/>
          <w:sz w:val="32"/>
          <w:szCs w:val="32"/>
          <w:lang w:val="en-US" w:eastAsia="zh-CN" w:bidi="ar-SA"/>
        </w:rPr>
        <w:t>项目等3个项目绩效自评结果。</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sz w:val="32"/>
          <w:szCs w:val="32"/>
        </w:rPr>
        <w:t>城乡居民社会养老保险基金县级财政补贴</w:t>
      </w:r>
      <w:r>
        <w:rPr>
          <w:rFonts w:hint="eastAsia" w:ascii="仿宋" w:hAnsi="仿宋" w:eastAsia="仿宋" w:cs="仿宋"/>
          <w:sz w:val="32"/>
          <w:szCs w:val="32"/>
          <w:lang w:eastAsia="zh-CN"/>
        </w:rPr>
        <w:t>项</w:t>
      </w:r>
      <w:r>
        <w:rPr>
          <w:rFonts w:hint="eastAsia" w:ascii="仿宋_GB2312" w:hAnsi="仿宋_GB2312" w:eastAsia="仿宋_GB2312" w:cs="仿宋_GB2312"/>
          <w:b w:val="0"/>
          <w:bCs w:val="0"/>
          <w:kern w:val="2"/>
          <w:sz w:val="32"/>
          <w:szCs w:val="32"/>
          <w:lang w:val="en-US" w:eastAsia="zh-CN" w:bidi="ar-SA"/>
        </w:rPr>
        <w:t>目绩效自评得分为100分。全年预算数为394.5万元，执行数为394.5万元，完成预算的100%。项目绩效目标完成情况：</w:t>
      </w:r>
      <w:r>
        <w:rPr>
          <w:rFonts w:hint="eastAsia" w:ascii="仿宋" w:hAnsi="仿宋" w:eastAsia="仿宋" w:cs="仿宋"/>
          <w:sz w:val="32"/>
          <w:szCs w:val="32"/>
          <w:lang w:eastAsia="zh-CN"/>
        </w:rPr>
        <w:t>按时足额发放城乡居民养老保险。</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）企业养老保险省级统筹制度改革基金缺口</w:t>
      </w:r>
      <w:r>
        <w:rPr>
          <w:rFonts w:hint="eastAsia" w:ascii="仿宋" w:hAnsi="仿宋" w:eastAsia="仿宋" w:cs="仿宋"/>
          <w:b w:val="0"/>
          <w:bCs w:val="0"/>
          <w:kern w:val="2"/>
          <w:sz w:val="32"/>
          <w:szCs w:val="32"/>
          <w:lang w:val="en-US" w:eastAsia="zh-CN" w:bidi="ar-SA"/>
        </w:rPr>
        <w:t>项目自评综述：根据年初设定的绩效目标，</w:t>
      </w:r>
      <w:r>
        <w:rPr>
          <w:rFonts w:hint="eastAsia" w:ascii="仿宋" w:hAnsi="仿宋" w:eastAsia="仿宋" w:cs="仿宋"/>
          <w:sz w:val="32"/>
          <w:szCs w:val="32"/>
          <w:lang w:eastAsia="zh-CN"/>
        </w:rPr>
        <w:t>企业养老保险省级统筹制度改革基金缺口</w:t>
      </w:r>
      <w:r>
        <w:rPr>
          <w:rFonts w:hint="eastAsia" w:ascii="仿宋_GB2312" w:hAnsi="仿宋_GB2312" w:eastAsia="仿宋_GB2312" w:cs="仿宋_GB2312"/>
          <w:b w:val="0"/>
          <w:bCs w:val="0"/>
          <w:kern w:val="2"/>
          <w:sz w:val="32"/>
          <w:szCs w:val="32"/>
          <w:lang w:val="en-US" w:eastAsia="zh-CN" w:bidi="ar-SA"/>
        </w:rPr>
        <w:t>项目绩效自评得分为100分。全年预算数为509万元，执行数为509万元，完成预算的100%。项目绩效目标完成情况：</w:t>
      </w:r>
      <w:r>
        <w:rPr>
          <w:rFonts w:hint="eastAsia" w:ascii="仿宋" w:hAnsi="仿宋" w:eastAsia="仿宋" w:cs="仿宋"/>
          <w:sz w:val="32"/>
          <w:szCs w:val="32"/>
          <w:lang w:eastAsia="zh-CN"/>
        </w:rPr>
        <w:t>享受企业养老保险基金补助人数5246人。资金发放到位率，保险资金待遇按时足额发放人数占应发放人数的比率</w:t>
      </w:r>
      <w:r>
        <w:rPr>
          <w:rFonts w:hint="eastAsia" w:ascii="仿宋" w:hAnsi="仿宋" w:eastAsia="仿宋" w:cs="仿宋"/>
          <w:sz w:val="32"/>
          <w:szCs w:val="32"/>
          <w:lang w:val="en-US" w:eastAsia="zh-CN"/>
        </w:rPr>
        <w:t>100%。企业养老金征缴完成率，实际征缴收入与征缴计划之间的比率100%。享受企业养老保险基金补助覆盖面，实际享受养老保险基金补助人数占应享受保险基金补助人数的比率100%。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）就业创业补助资金县级配套</w:t>
      </w:r>
      <w:r>
        <w:rPr>
          <w:rFonts w:hint="eastAsia" w:ascii="仿宋" w:hAnsi="仿宋" w:eastAsia="仿宋" w:cs="仿宋"/>
          <w:b w:val="0"/>
          <w:bCs w:val="0"/>
          <w:kern w:val="2"/>
          <w:sz w:val="32"/>
          <w:szCs w:val="32"/>
          <w:lang w:val="en-US" w:eastAsia="zh-CN" w:bidi="ar-SA"/>
        </w:rPr>
        <w:t>项目绩效自评综述：根据年初设定的绩效目标，</w:t>
      </w:r>
      <w:r>
        <w:rPr>
          <w:rFonts w:hint="eastAsia" w:ascii="仿宋" w:hAnsi="仿宋" w:eastAsia="仿宋" w:cs="仿宋"/>
          <w:sz w:val="32"/>
          <w:szCs w:val="32"/>
          <w:lang w:eastAsia="zh-CN"/>
        </w:rPr>
        <w:t>就业创业补助资金县级配套</w:t>
      </w:r>
      <w:r>
        <w:rPr>
          <w:rFonts w:hint="eastAsia" w:ascii="仿宋_GB2312" w:hAnsi="仿宋_GB2312" w:eastAsia="仿宋_GB2312" w:cs="仿宋_GB2312"/>
          <w:b w:val="0"/>
          <w:bCs w:val="0"/>
          <w:kern w:val="2"/>
          <w:sz w:val="32"/>
          <w:szCs w:val="32"/>
          <w:lang w:val="en-US" w:eastAsia="zh-CN" w:bidi="ar-SA"/>
        </w:rPr>
        <w:t>项目绩效自评得分为100分。全年预算数为100万元，执行数为100万元，完成预算的100%。项目绩效目标完成情况：</w:t>
      </w:r>
      <w:r>
        <w:rPr>
          <w:rFonts w:hint="eastAsia" w:ascii="仿宋_GB2312" w:hAnsi="仿宋_GB2312" w:eastAsia="仿宋_GB2312" w:cs="仿宋_GB2312"/>
          <w:b/>
          <w:color w:val="auto"/>
          <w:kern w:val="0"/>
          <w:sz w:val="32"/>
          <w:szCs w:val="32"/>
          <w:lang w:eastAsia="zh-CN"/>
        </w:rPr>
        <w:t>一是</w:t>
      </w:r>
      <w:r>
        <w:rPr>
          <w:rFonts w:hint="eastAsia" w:ascii="仿宋_GB2312" w:hAnsi="仿宋_GB2312" w:eastAsia="仿宋_GB2312" w:cs="仿宋_GB2312"/>
          <w:color w:val="auto"/>
          <w:kern w:val="0"/>
          <w:sz w:val="32"/>
          <w:szCs w:val="32"/>
        </w:rPr>
        <w:t>积极开展了</w:t>
      </w:r>
      <w:r>
        <w:rPr>
          <w:rFonts w:hint="eastAsia" w:ascii="仿宋_GB2312" w:hAnsi="仿宋_GB2312" w:eastAsia="仿宋_GB2312" w:cs="仿宋_GB2312"/>
          <w:b w:val="0"/>
          <w:kern w:val="2"/>
          <w:sz w:val="32"/>
          <w:szCs w:val="32"/>
          <w:lang w:val="en-US" w:eastAsia="zh-CN" w:bidi="ar-SA"/>
        </w:rPr>
        <w:t>“春风行动、就业援助月、民营企业招聘周”等各类专项活动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实现新增就业岗位</w:t>
      </w:r>
      <w:r>
        <w:rPr>
          <w:rFonts w:hint="eastAsia" w:ascii="仿宋_GB2312" w:hAnsi="仿宋_GB2312" w:eastAsia="仿宋_GB2312" w:cs="仿宋_GB2312"/>
          <w:sz w:val="32"/>
          <w:szCs w:val="32"/>
          <w:lang w:val="en-US" w:eastAsia="zh-CN"/>
        </w:rPr>
        <w:t>2756</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sz w:val="32"/>
          <w:szCs w:val="32"/>
          <w:lang w:val="en-US" w:eastAsia="zh-CN"/>
        </w:rPr>
        <w:t>完成市目标3030人的90.9%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农村劳动力转移就业2625人，完成市目标2558人的102.6%；城镇登记失业率继续控制在3.5%以内，低于市控目标1个百分点。</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sz w:val="32"/>
          <w:szCs w:val="32"/>
          <w:lang w:val="en-US" w:eastAsia="zh-CN"/>
        </w:rPr>
        <w:t>成立了“内丘县就业培训工程及创业就业孵化基地培育活动专班”，着力提升规范两家孵化基地，开展电工、焊工、育婴员、中式面点等免费职业技能培训20期803人。同时，</w:t>
      </w:r>
      <w:r>
        <w:rPr>
          <w:rFonts w:hint="eastAsia" w:ascii="仿宋_GB2312" w:hAnsi="仿宋_GB2312" w:eastAsia="仿宋_GB2312" w:cs="仿宋_GB2312"/>
          <w:b w:val="0"/>
          <w:kern w:val="2"/>
          <w:sz w:val="32"/>
          <w:szCs w:val="32"/>
          <w:lang w:val="en-US" w:eastAsia="zh-CN" w:bidi="ar-SA"/>
        </w:rPr>
        <w:t>在金店镇、工业园区、官庄镇、大孟村镇、五郭店乡、柳林镇、南赛乡开展贫困劳动力引导性培训600余人次</w:t>
      </w:r>
      <w:r>
        <w:rPr>
          <w:rFonts w:hint="eastAsia" w:ascii="仿宋_GB2312" w:hAnsi="仿宋_GB2312" w:eastAsia="仿宋_GB2312" w:cs="仿宋_GB2312"/>
          <w:sz w:val="32"/>
          <w:szCs w:val="32"/>
          <w:lang w:val="en-US" w:eastAsia="zh-CN"/>
        </w:rPr>
        <w:t>。目前共安置涉军人员176人到公益性岗位就业，</w:t>
      </w:r>
      <w:r>
        <w:rPr>
          <w:rFonts w:hint="eastAsia" w:ascii="仿宋_GB2312" w:hAnsi="仿宋_GB2312" w:eastAsia="仿宋_GB2312" w:cs="仿宋_GB2312"/>
          <w:b w:val="0"/>
          <w:kern w:val="2"/>
          <w:sz w:val="32"/>
          <w:szCs w:val="32"/>
          <w:lang w:val="en-US" w:eastAsia="zh-CN" w:bidi="ar-SA"/>
        </w:rPr>
        <w:t>四渠道贫困劳动力就业人数223人，</w:t>
      </w:r>
      <w:r>
        <w:rPr>
          <w:rFonts w:hint="eastAsia" w:ascii="仿宋_GB2312" w:hAnsi="仿宋_GB2312" w:eastAsia="仿宋_GB2312" w:cs="仿宋_GB2312"/>
          <w:sz w:val="32"/>
          <w:szCs w:val="32"/>
          <w:lang w:val="en-US" w:eastAsia="zh-CN"/>
        </w:rPr>
        <w:t>审核小额担保贷款20笔，发放贷款165万元，带动就业138人。审核发放职业技能提升补贴241人32.2万元；为18家符合稳岗返还资金条件的企业返还稳岗资金52.61万元，稳定职工1641人。</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七、其他重要事项的说明</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（一）机关运行经费情况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度机关运行经费支出</w:t>
      </w:r>
      <w:r>
        <w:rPr>
          <w:rFonts w:hint="eastAsia" w:ascii="仿宋_GB2312" w:hAnsi="Times New Roman" w:eastAsia="仿宋_GB2312" w:cs="DengXian-Regular"/>
          <w:sz w:val="32"/>
          <w:szCs w:val="32"/>
          <w:lang w:val="en-US" w:eastAsia="zh-CN"/>
        </w:rPr>
        <w:t>91.8</w:t>
      </w:r>
      <w:r>
        <w:rPr>
          <w:rFonts w:hint="eastAsia" w:ascii="仿宋_GB2312" w:hAnsi="Times New Roman" w:eastAsia="仿宋_GB2312" w:cs="DengXian-Regular"/>
          <w:sz w:val="32"/>
          <w:szCs w:val="32"/>
        </w:rPr>
        <w:t>万元，比</w:t>
      </w:r>
      <w:r>
        <w:rPr>
          <w:rFonts w:hint="eastAsia" w:ascii="仿宋_GB2312" w:hAnsi="Times New Roman" w:eastAsia="仿宋_GB2312" w:cs="DengXian-Regular"/>
          <w:sz w:val="32"/>
          <w:szCs w:val="32"/>
          <w:lang w:eastAsia="zh-CN"/>
        </w:rPr>
        <w:t>2018年</w:t>
      </w:r>
      <w:r>
        <w:rPr>
          <w:rFonts w:hint="eastAsia" w:ascii="仿宋_GB2312" w:hAnsi="Times New Roman" w:eastAsia="仿宋_GB2312" w:cs="DengXian-Regular"/>
          <w:sz w:val="32"/>
          <w:szCs w:val="32"/>
        </w:rPr>
        <w:t>度增加</w:t>
      </w:r>
      <w:r>
        <w:rPr>
          <w:rFonts w:hint="eastAsia" w:ascii="仿宋_GB2312" w:hAnsi="Times New Roman" w:eastAsia="仿宋_GB2312" w:cs="DengXian-Regular"/>
          <w:sz w:val="32"/>
          <w:szCs w:val="32"/>
          <w:lang w:val="en-US" w:eastAsia="zh-CN"/>
        </w:rPr>
        <w:t>1.1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1.2</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机关运行费用的增加</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与年初预算数相比减少</w:t>
      </w:r>
      <w:r>
        <w:rPr>
          <w:rFonts w:hint="eastAsia" w:ascii="仿宋_GB2312" w:hAnsi="Times New Roman" w:eastAsia="仿宋_GB2312" w:cs="DengXian-Regular"/>
          <w:sz w:val="32"/>
          <w:szCs w:val="32"/>
          <w:lang w:val="en-US" w:eastAsia="zh-CN"/>
        </w:rPr>
        <w:t>7.65万元，主要是福利费、培训费、其他交通费未完全列支。</w:t>
      </w:r>
    </w:p>
    <w:p>
      <w:pPr>
        <w:keepNext/>
        <w:keepLines/>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（二）政府采购情况</w:t>
      </w:r>
    </w:p>
    <w:p>
      <w:pPr>
        <w:keepNext w:val="0"/>
        <w:keepLines w:val="0"/>
        <w:pageBreakBefore w:val="0"/>
        <w:widowControl w:val="0"/>
        <w:suppressLineNumbers w:val="0"/>
        <w:kinsoku/>
        <w:wordWrap/>
        <w:overflowPunct/>
        <w:topLinePunct w:val="0"/>
        <w:autoSpaceDE/>
        <w:autoSpaceDN/>
        <w:bidi w:val="0"/>
        <w:adjustRightInd/>
        <w:snapToGrid w:val="0"/>
        <w:spacing w:line="580" w:lineRule="exact"/>
        <w:ind w:left="0" w:leftChars="0" w:right="0" w:rightChars="0" w:firstLine="640" w:firstLineChars="200"/>
        <w:jc w:val="left"/>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未发生此类支出。</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（三）国有资产占用情况</w:t>
      </w:r>
    </w:p>
    <w:p>
      <w:pPr>
        <w:spacing w:line="360" w:lineRule="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 xml:space="preserve">    截止2019年12月31日，本部门固定资产总金额1305.34万元，其中房屋4870平方米，价值883.76万元，占固定资产总数67.70%，与上年持平；车辆3辆（包含未车改的事业单位），其中一般公务用车2辆，事业用车1辆，总价值46.96万元，占总资产3.59%，与上年持平；其他固定资产374.62元，占固定资产总数28.70%，比上年增加4.38万元，主要是新增电脑打印机等；</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w:t>
      </w:r>
      <w:r>
        <w:rPr>
          <w:rFonts w:hint="eastAsia" w:ascii="仿宋_GB2312" w:hAnsi="Times New Roman" w:eastAsia="仿宋_GB2312" w:cs="DengXian-Regular"/>
          <w:sz w:val="32"/>
          <w:szCs w:val="32"/>
          <w:lang w:val="en-US" w:eastAsia="zh-CN"/>
        </w:rPr>
        <w:t>专用</w:t>
      </w:r>
      <w:r>
        <w:rPr>
          <w:rFonts w:hint="eastAsia" w:ascii="仿宋_GB2312" w:hAnsi="Times New Roman" w:eastAsia="仿宋_GB2312" w:cs="DengXian-Regular"/>
          <w:sz w:val="32"/>
          <w:szCs w:val="32"/>
        </w:rPr>
        <w:t>设备</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套</w:t>
      </w:r>
      <w:r>
        <w:rPr>
          <w:rFonts w:hint="eastAsia" w:ascii="仿宋_GB2312" w:hAnsi="Times New Roman" w:eastAsia="仿宋_GB2312" w:cs="DengXian-Regular"/>
          <w:sz w:val="32"/>
          <w:szCs w:val="32"/>
          <w:lang w:val="en-US" w:eastAsia="zh-CN"/>
        </w:rPr>
        <w:t>与上年持平</w:t>
      </w:r>
      <w:r>
        <w:rPr>
          <w:rFonts w:hint="eastAsia" w:ascii="仿宋" w:hAnsi="仿宋" w:eastAsia="仿宋" w:cs="仿宋"/>
          <w:sz w:val="32"/>
          <w:szCs w:val="32"/>
          <w:lang w:val="en-US"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（四）其他需要说明的情况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1</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度无</w:t>
      </w:r>
      <w:r>
        <w:rPr>
          <w:rFonts w:hint="eastAsia" w:ascii="仿宋_GB2312" w:hAnsi="Times New Roman" w:eastAsia="仿宋_GB2312" w:cs="DengXian-Regular"/>
          <w:sz w:val="32"/>
          <w:szCs w:val="32"/>
          <w:lang w:eastAsia="zh-CN"/>
        </w:rPr>
        <w:t>政府性基金预算财政拨款及国有资本经营预算财政拨款</w:t>
      </w:r>
      <w:r>
        <w:rPr>
          <w:rFonts w:hint="eastAsia" w:ascii="仿宋_GB2312" w:hAnsi="Times New Roman" w:eastAsia="仿宋_GB2312" w:cs="DengXian-Regular"/>
          <w:sz w:val="32"/>
          <w:szCs w:val="32"/>
        </w:rPr>
        <w:t>收支及结转结余情况</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故</w:t>
      </w:r>
      <w:r>
        <w:rPr>
          <w:rFonts w:hint="eastAsia" w:ascii="仿宋_GB2312" w:hAnsi="Times New Roman" w:eastAsia="仿宋_GB2312" w:cs="DengXian-Regular"/>
          <w:sz w:val="32"/>
          <w:szCs w:val="32"/>
          <w:lang w:eastAsia="zh-CN"/>
        </w:rPr>
        <w:t>政府性基金预算财政拨款收入支出决算表、国有资本经营预算财政拨款支出决算表</w:t>
      </w:r>
      <w:r>
        <w:rPr>
          <w:rFonts w:hint="eastAsia" w:ascii="仿宋_GB2312" w:hAnsi="Times New Roman" w:eastAsia="仿宋_GB2312" w:cs="DengXian-Regular"/>
          <w:sz w:val="32"/>
          <w:szCs w:val="32"/>
        </w:rPr>
        <w:t>以空表列示。</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2</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pageBreakBefore w:val="0"/>
        <w:widowControl/>
        <w:kinsoku/>
        <w:wordWrap/>
        <w:overflowPunct/>
        <w:topLinePunct w:val="0"/>
        <w:autoSpaceDE/>
        <w:autoSpaceDN/>
        <w:bidi w:val="0"/>
        <w:spacing w:after="0" w:line="580" w:lineRule="exact"/>
        <w:ind w:firstLine="883" w:firstLineChars="200"/>
        <w:jc w:val="left"/>
        <w:textAlignment w:val="auto"/>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rtlGutter w:val="0"/>
          <w:docGrid w:type="lines" w:linePitch="312" w:charSpace="0"/>
        </w:sect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sectPr>
          <w:type w:val="continuous"/>
          <w:pgSz w:w="11906" w:h="16838"/>
          <w:pgMar w:top="2041" w:right="1531" w:bottom="2041" w:left="1531" w:header="851" w:footer="992" w:gutter="0"/>
          <w:pgNumType w:fmt="numberInDash"/>
          <w:cols w:space="0" w:num="1"/>
          <w:titlePg/>
          <w:rtlGutter w:val="0"/>
          <w:docGrid w:type="lines" w:linePitch="312" w:charSpace="0"/>
        </w:sectPr>
      </w:pPr>
    </w:p>
    <w:p>
      <w:pPr>
        <w:rPr>
          <w:rFonts w:hint="default" w:ascii="黑体" w:hAnsi="黑体" w:eastAsia="黑体" w:cs="黑体"/>
          <w:sz w:val="56"/>
          <w:szCs w:val="72"/>
          <w:lang w:val="en-US" w:eastAsia="zh-CN"/>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rtlGutter w:val="0"/>
          <w:docGrid w:type="lines" w:linePitch="312" w:charSpace="0"/>
        </w:sectPr>
      </w:pPr>
      <w:r>
        <w:rPr>
          <w:rFonts w:hint="default" w:ascii="黑体" w:hAnsi="黑体" w:eastAsia="黑体" w:cs="黑体"/>
          <w:sz w:val="56"/>
          <w:szCs w:val="72"/>
          <w:lang w:val="en-US" w:eastAsia="zh-CN"/>
        </w:rPr>
        <w:br w:type="page"/>
      </w:r>
    </w:p>
    <w:p>
      <w:pP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sz w:val="72"/>
        </w:rPr>
      </w:pPr>
      <w:r>
        <w:rPr>
          <w:sz w:val="72"/>
        </w:rPr>
        <mc:AlternateContent>
          <mc:Choice Requires="wps">
            <w:drawing>
              <wp:anchor distT="0" distB="0" distL="114300" distR="114300" simplePos="0" relativeHeight="62290227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62290227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5"/>
                <v:stroke weight="0.5pt" color="#FFD966 [3204]" joinstyle="round"/>
                <v:imagedata o:title=""/>
                <o:lock v:ext="edit" aspectratio="f"/>
                <v:textbo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v:textbox>
              </v:shape>
            </w:pict>
          </mc:Fallback>
        </mc:AlternateContent>
      </w:r>
    </w:p>
    <w:p>
      <w:pPr>
        <w:bidi w:val="0"/>
        <w:rPr>
          <w:rFonts w:hint="default" w:asciiTheme="minorHAnsi" w:hAnsiTheme="minorHAnsi" w:eastAsiaTheme="minorEastAsia" w:cstheme="minorBidi"/>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886"/>
        </w:tabs>
        <w:bidi w:val="0"/>
        <w:jc w:val="left"/>
        <w:rPr>
          <w:rFonts w:hint="eastAsia"/>
          <w:lang w:val="en-US" w:eastAsia="zh-CN"/>
        </w:rPr>
        <w:sectPr>
          <w:headerReference r:id="rId19" w:type="first"/>
          <w:pgSz w:w="11906" w:h="16838"/>
          <w:pgMar w:top="2041" w:right="1531" w:bottom="2041" w:left="1531" w:header="851" w:footer="992" w:gutter="0"/>
          <w:pgNumType w:fmt="numberInDash"/>
          <w:cols w:space="0" w:num="1"/>
          <w:titlePg/>
          <w:rtlGutter w:val="0"/>
          <w:docGrid w:type="lines" w:linePitch="312" w:charSpace="0"/>
        </w:sectPr>
      </w:pPr>
    </w:p>
    <w:p>
      <w:pPr>
        <w:rPr>
          <w:rFonts w:hint="eastAsia" w:ascii="仿宋_GB2312" w:hAnsi="宋体" w:eastAsia="仿宋_GB2312" w:cs="ArialUnicodeMS"/>
          <w:sz w:val="32"/>
          <w:szCs w:val="32"/>
          <w:highlight w:val="yellow"/>
        </w:rPr>
      </w:pPr>
      <w:r>
        <w:rPr>
          <w:rFonts w:hint="eastAsia" w:ascii="仿宋_GB2312" w:hAnsi="宋体" w:eastAsia="仿宋_GB2312" w:cs="ArialUnicodeMS"/>
          <w:sz w:val="32"/>
          <w:szCs w:val="32"/>
          <w:highlight w:val="yellow"/>
        </w:rPr>
        <w:br w:type="page"/>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）及</w:t>
      </w:r>
      <w:r>
        <w:rPr>
          <w:rFonts w:hint="eastAsia" w:ascii="仿宋_GB2312" w:hAnsi="宋体" w:eastAsia="仿宋_GB2312" w:cs="Times New Roman"/>
          <w:color w:val="000000"/>
          <w:kern w:val="0"/>
          <w:sz w:val="32"/>
          <w:szCs w:val="32"/>
          <w:lang w:eastAsia="zh-CN"/>
        </w:rPr>
        <w:t>按规定保留的公务用车燃料费、维修费、过桥过路费、保险费、安全奖励费用等支出</w:t>
      </w:r>
      <w:r>
        <w:rPr>
          <w:rFonts w:hint="eastAsia" w:ascii="仿宋_GB2312" w:hAnsi="宋体" w:eastAsia="仿宋_GB2312" w:cs="Times New Roman"/>
          <w:color w:val="000000"/>
          <w:kern w:val="0"/>
          <w:sz w:val="32"/>
          <w:szCs w:val="32"/>
        </w:rPr>
        <w:t>；公务接待费反映单位按规定开支的各类公务接待（含外宾接待）支出。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w:t>
      </w:r>
      <w:r>
        <w:rPr>
          <w:rFonts w:hint="eastAsia" w:ascii="仿宋_GB2312" w:hAnsi="宋体" w:eastAsia="仿宋_GB2312" w:cs="Times New Roman"/>
          <w:color w:val="000000"/>
          <w:kern w:val="0"/>
          <w:sz w:val="32"/>
          <w:szCs w:val="32"/>
          <w:lang w:eastAsia="zh-CN"/>
        </w:rPr>
        <w:t>公务交通补贴、租车费用、出租车费用，飞机、船舶等燃料费、维修费、保险费</w:t>
      </w:r>
      <w:r>
        <w:rPr>
          <w:rFonts w:hint="eastAsia" w:ascii="仿宋_GB2312" w:hAnsi="宋体" w:eastAsia="仿宋_GB2312" w:cs="Times New Roman"/>
          <w:color w:val="000000"/>
          <w:kern w:val="0"/>
          <w:sz w:val="32"/>
          <w:szCs w:val="32"/>
        </w:rPr>
        <w:t>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b w:val="0"/>
          <w:bCs w:val="0"/>
          <w:color w:val="000000"/>
          <w:kern w:val="0"/>
          <w:sz w:val="32"/>
          <w:szCs w:val="32"/>
        </w:rPr>
        <w:t>填</w:t>
      </w:r>
      <w:r>
        <w:rPr>
          <w:rFonts w:hint="eastAsia" w:ascii="仿宋_GB2312" w:hAnsi="宋体" w:eastAsia="仿宋_GB2312" w:cs="Times New Roman"/>
          <w:color w:val="000000"/>
          <w:kern w:val="0"/>
          <w:sz w:val="32"/>
          <w:szCs w:val="32"/>
        </w:rPr>
        <w:t>列单位公务用车车辆购置支出（含车辆购置税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w:t>
      </w:r>
      <w:r>
        <w:rPr>
          <w:rFonts w:hint="eastAsia" w:ascii="仿宋_GB2312" w:hAnsi="宋体" w:eastAsia="仿宋_GB2312" w:cs="Times New Roman"/>
          <w:color w:val="000000"/>
          <w:kern w:val="0"/>
          <w:sz w:val="32"/>
          <w:szCs w:val="32"/>
          <w:lang w:eastAsia="zh-CN"/>
        </w:rPr>
        <w:t>等</w:t>
      </w:r>
      <w:r>
        <w:rPr>
          <w:rFonts w:hint="eastAsia" w:ascii="仿宋_GB2312" w:hAnsi="宋体" w:eastAsia="仿宋_GB2312" w:cs="Times New Roman"/>
          <w:color w:val="000000"/>
          <w:kern w:val="0"/>
          <w:sz w:val="32"/>
          <w:szCs w:val="32"/>
        </w:rPr>
        <w:t>）购置支出（含车辆购置税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bidi w:val="0"/>
        <w:ind w:firstLine="643" w:firstLineChars="200"/>
        <w:jc w:val="left"/>
        <w:rPr>
          <w:rFonts w:hint="eastAsia" w:ascii="仿宋_GB2312" w:hAnsi="Cambria" w:eastAsia="仿宋_GB2312" w:cs="ArialUnicodeMS"/>
          <w:kern w:val="0"/>
          <w:sz w:val="32"/>
          <w:szCs w:val="32"/>
          <w:vertAlign w:val="baseline"/>
          <w:lang w:val="en-US" w:eastAsia="zh-CN"/>
        </w:rPr>
      </w:pPr>
      <w:r>
        <w:rPr>
          <w:rFonts w:hint="eastAsia" w:ascii="仿宋_GB2312" w:hAnsi="宋体" w:eastAsia="仿宋_GB2312" w:cs="Times New Roman"/>
          <w:b/>
          <w:bCs/>
          <w:color w:val="000000"/>
          <w:kern w:val="0"/>
          <w:sz w:val="32"/>
          <w:szCs w:val="32"/>
          <w:lang w:val="en-US" w:eastAsia="zh-CN"/>
        </w:rPr>
        <w:t>（十七）经费形式:</w:t>
      </w:r>
      <w:r>
        <w:rPr>
          <w:rFonts w:hint="eastAsia" w:ascii="仿宋_GB2312" w:hAnsi="宋体" w:eastAsia="仿宋_GB2312" w:cs="Times New Roman"/>
          <w:b w:val="0"/>
          <w:bCs w:val="0"/>
          <w:color w:val="000000"/>
          <w:kern w:val="0"/>
          <w:sz w:val="32"/>
          <w:szCs w:val="32"/>
          <w:lang w:val="en-US" w:eastAsia="zh-CN"/>
        </w:rPr>
        <w:t>按</w:t>
      </w:r>
      <w:r>
        <w:rPr>
          <w:rFonts w:hint="eastAsia" w:ascii="仿宋_GB2312" w:hAnsi="宋体" w:eastAsia="仿宋_GB2312" w:cs="Times New Roman"/>
          <w:color w:val="000000"/>
          <w:kern w:val="0"/>
          <w:sz w:val="32"/>
          <w:szCs w:val="32"/>
          <w:lang w:val="en-US" w:eastAsia="zh-CN"/>
        </w:rPr>
        <w:t>照经费来源，</w:t>
      </w:r>
      <w:r>
        <w:rPr>
          <w:rFonts w:hint="eastAsia" w:ascii="仿宋_GB2312" w:hAnsi="Cambria" w:eastAsia="仿宋_GB2312" w:cs="ArialUnicodeMS"/>
          <w:kern w:val="0"/>
          <w:sz w:val="32"/>
          <w:szCs w:val="32"/>
          <w:vertAlign w:val="baseline"/>
          <w:lang w:val="en-US" w:eastAsia="zh-CN"/>
        </w:rPr>
        <w:t>可分为财政拨款、财政性资金基本保证、财政性资金定额或定项补助、财政性资金零补助四类。</w:t>
      </w:r>
    </w:p>
    <w:p>
      <w:pPr>
        <w:bidi w:val="0"/>
        <w:jc w:val="left"/>
        <w:rPr>
          <w:rFonts w:hint="eastAsia"/>
          <w:lang w:val="en-US" w:eastAsia="zh-CN"/>
        </w:rPr>
        <w:sectPr>
          <w:headerReference r:id="rId20"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bidi w:val="0"/>
        <w:jc w:val="left"/>
        <w:rPr>
          <w:rFonts w:hint="eastAsia"/>
          <w:lang w:val="en-US" w:eastAsia="zh-CN"/>
        </w:rPr>
        <w:sectPr>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3221620736" behindDoc="0"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35.85pt;height:263.1pt;width:613.65pt;z-index:-1073346560;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GGoOK3AAAAA0BAAAPAAAAAAAAAAEAIAAAACIAAABkcnMvZG93bnJldi54bWxQSwECFAAUAAAA&#10;CACHTuJAew5iW1wCAAC6BAAADgAAAAAAAAABACAAAAArAQAAZHJzL2Uyb0RvYy54bWxQSwUGAAAA&#10;AAYABgBZAQAA+QUAAAAA&#10;">
                <v:fill type="pattern" on="t" color2="#FFFFFF [3212]" focussize="0,0" r:id="rId25"/>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v:textbox>
              </v:shape>
            </w:pict>
          </mc:Fallback>
        </mc:AlternateContent>
      </w:r>
    </w:p>
    <w:tbl>
      <w:tblPr>
        <w:tblStyle w:val="7"/>
        <w:tblpPr w:leftFromText="180" w:rightFromText="180" w:vertAnchor="text" w:horzAnchor="page" w:tblpX="1298" w:tblpY="357"/>
        <w:tblOverlap w:val="never"/>
        <w:tblW w:w="9517" w:type="dxa"/>
        <w:jc w:val="center"/>
        <w:tblInd w:w="0" w:type="dxa"/>
        <w:shd w:val="clear" w:color="auto" w:fill="auto"/>
        <w:tblLayout w:type="fixed"/>
        <w:tblCellMar>
          <w:top w:w="0" w:type="dxa"/>
          <w:left w:w="0" w:type="dxa"/>
          <w:bottom w:w="0" w:type="dxa"/>
          <w:right w:w="0" w:type="dxa"/>
        </w:tblCellMar>
      </w:tblPr>
      <w:tblGrid>
        <w:gridCol w:w="2654"/>
        <w:gridCol w:w="953"/>
        <w:gridCol w:w="1034"/>
        <w:gridCol w:w="3000"/>
        <w:gridCol w:w="649"/>
        <w:gridCol w:w="1227"/>
      </w:tblGrid>
      <w:tr>
        <w:tblPrEx>
          <w:shd w:val="clear" w:color="auto" w:fill="auto"/>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收入支出决算总表</w:t>
            </w:r>
          </w:p>
        </w:tc>
      </w:tr>
      <w:tr>
        <w:tblPrEx>
          <w:tblLayout w:type="fixed"/>
          <w:tblCellMar>
            <w:top w:w="0" w:type="dxa"/>
            <w:left w:w="0" w:type="dxa"/>
            <w:bottom w:w="0" w:type="dxa"/>
            <w:right w:w="0" w:type="dxa"/>
          </w:tblCellMar>
        </w:tblPrEx>
        <w:trPr>
          <w:trHeight w:val="205" w:hRule="atLeast"/>
          <w:jc w:val="center"/>
        </w:trPr>
        <w:tc>
          <w:tcPr>
            <w:tcW w:w="2654"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95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3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76"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Layout w:type="fixed"/>
          <w:tblCellMar>
            <w:top w:w="0" w:type="dxa"/>
            <w:left w:w="0" w:type="dxa"/>
            <w:bottom w:w="0" w:type="dxa"/>
            <w:right w:w="0" w:type="dxa"/>
          </w:tblCellMar>
        </w:tblPrEx>
        <w:trPr>
          <w:trHeight w:val="421" w:hRule="atLeast"/>
          <w:jc w:val="center"/>
        </w:trPr>
        <w:tc>
          <w:tcPr>
            <w:tcW w:w="2654"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95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3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76"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4" w:hRule="atLeast"/>
          <w:jc w:val="center"/>
        </w:trPr>
        <w:tc>
          <w:tcPr>
            <w:tcW w:w="46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87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Layout w:type="fixed"/>
          <w:tblCellMar>
            <w:top w:w="0" w:type="dxa"/>
            <w:left w:w="0" w:type="dxa"/>
            <w:bottom w:w="0" w:type="dxa"/>
            <w:right w:w="0" w:type="dxa"/>
          </w:tblCellMar>
        </w:tblPrEx>
        <w:trPr>
          <w:trHeight w:val="770"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17,243.29</w:t>
            </w: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82"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8,674.24</w:t>
            </w: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8,453.49</w:t>
            </w: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34.41</w:t>
            </w: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80.90</w:t>
            </w: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17,243.29</w:t>
            </w: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17,243.04</w:t>
            </w: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17.24</w:t>
            </w: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17.49</w:t>
            </w: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3" w:hRule="atLeast"/>
          <w:jc w:val="center"/>
        </w:trPr>
        <w:tc>
          <w:tcPr>
            <w:tcW w:w="26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17,260.53</w:t>
            </w:r>
          </w:p>
        </w:tc>
        <w:tc>
          <w:tcPr>
            <w:tcW w:w="3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17,260.53</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tbl>
      <w:tblPr>
        <w:tblStyle w:val="7"/>
        <w:tblW w:w="9580" w:type="dxa"/>
        <w:jc w:val="center"/>
        <w:tblInd w:w="0" w:type="dxa"/>
        <w:shd w:val="clear" w:color="auto" w:fill="auto"/>
        <w:tblLayout w:type="fixed"/>
        <w:tblCellMar>
          <w:top w:w="0" w:type="dxa"/>
          <w:left w:w="0" w:type="dxa"/>
          <w:bottom w:w="0" w:type="dxa"/>
          <w:right w:w="0" w:type="dxa"/>
        </w:tblCellMar>
      </w:tblPr>
      <w:tblGrid>
        <w:gridCol w:w="1008"/>
        <w:gridCol w:w="58"/>
        <w:gridCol w:w="58"/>
        <w:gridCol w:w="3697"/>
        <w:gridCol w:w="1074"/>
        <w:gridCol w:w="973"/>
        <w:gridCol w:w="591"/>
        <w:gridCol w:w="507"/>
        <w:gridCol w:w="483"/>
        <w:gridCol w:w="527"/>
        <w:gridCol w:w="604"/>
      </w:tblGrid>
      <w:tr>
        <w:tblPrEx>
          <w:shd w:val="clear" w:color="auto" w:fill="auto"/>
          <w:tblLayout w:type="fixed"/>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i w:val="0"/>
                <w:color w:val="000000"/>
                <w:kern w:val="0"/>
                <w:sz w:val="32"/>
                <w:szCs w:val="32"/>
                <w:u w:val="none"/>
                <w:lang w:val="en-US" w:eastAsia="zh-CN" w:bidi="ar"/>
              </w:rPr>
            </w:pPr>
          </w:p>
          <w:p>
            <w:pPr>
              <w:keepNext w:val="0"/>
              <w:keepLines w:val="0"/>
              <w:widowControl/>
              <w:suppressLineNumbers w:val="0"/>
              <w:jc w:val="center"/>
              <w:textAlignment w:val="bottom"/>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收入决算表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69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7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31"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69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7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614"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85" w:hRule="atLeast"/>
          <w:jc w:val="center"/>
        </w:trPr>
        <w:tc>
          <w:tcPr>
            <w:tcW w:w="48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97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59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0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48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52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60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Layout w:type="fixed"/>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6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482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Layout w:type="fixed"/>
          <w:tblCellMar>
            <w:top w:w="0" w:type="dxa"/>
            <w:left w:w="0" w:type="dxa"/>
            <w:bottom w:w="0" w:type="dxa"/>
            <w:right w:w="0" w:type="dxa"/>
          </w:tblCellMar>
        </w:tblPrEx>
        <w:trPr>
          <w:trHeight w:val="385" w:hRule="atLeast"/>
          <w:jc w:val="center"/>
        </w:trPr>
        <w:tc>
          <w:tcPr>
            <w:tcW w:w="482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0"/>
                <w:szCs w:val="20"/>
                <w:u w:val="none"/>
                <w:lang w:val="en-US" w:eastAsia="zh-CN" w:bidi="ar"/>
              </w:rPr>
              <w:t>17,243.29</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0"/>
                <w:szCs w:val="20"/>
                <w:u w:val="none"/>
                <w:lang w:val="en-US" w:eastAsia="zh-CN" w:bidi="ar"/>
              </w:rPr>
              <w:t>17,243.29</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18"/>
                <w:szCs w:val="18"/>
                <w:u w:val="none"/>
                <w:lang w:val="en-US" w:eastAsia="zh-CN" w:bidi="ar"/>
              </w:rPr>
              <w:t>社会保障和就业支出</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8,668.76</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8,668.76</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20801</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人力资源和社会保障管理事务</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770.71</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770.71</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2080101</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637.05</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637.05</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2080102</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5.00</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5.00</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2080104</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综合业务管理</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56.16</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56.16</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2080107</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社会保险业务管理事务</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25.00</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25.00</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2080109</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社会保险经办机构</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2080110</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劳动关系和维权</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2080111</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公共就业服务和职业技能鉴定机构</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5.00</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5.00</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2080112</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劳动人事争议调解仲裁</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2080199</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其他人力资源和社会保障管理事务支出</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24.50</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24.50</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20805</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258.91</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258.91</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2080501</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16.90</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16.90</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2080505</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121.43</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121.43</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2080506</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120.57</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120.57</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20807</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就业补助</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1,002.00</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1,002.00</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2080705</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公益性岗位补贴</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100.00</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100.00</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2080799</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其他就业补助支出</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902.00</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902.00</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20826</w:t>
            </w:r>
          </w:p>
        </w:tc>
        <w:tc>
          <w:tcPr>
            <w:tcW w:w="36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18"/>
                <w:szCs w:val="18"/>
                <w:u w:val="none"/>
                <w:lang w:val="en-US" w:eastAsia="zh-CN" w:bidi="ar"/>
              </w:rPr>
              <w:t>财政对基本养老保险基金的补助</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6,557.49</w:t>
            </w:r>
          </w:p>
        </w:tc>
        <w:tc>
          <w:tcPr>
            <w:tcW w:w="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6,557.49</w:t>
            </w:r>
          </w:p>
        </w:tc>
        <w:tc>
          <w:tcPr>
            <w:tcW w:w="5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bidi w:val="0"/>
        <w:jc w:val="left"/>
        <w:rPr>
          <w:rFonts w:hint="default"/>
          <w:lang w:val="en-US" w:eastAsia="zh-CN"/>
        </w:rPr>
      </w:pPr>
    </w:p>
    <w:tbl>
      <w:tblPr>
        <w:tblStyle w:val="7"/>
        <w:tblW w:w="9680" w:type="dxa"/>
        <w:jc w:val="center"/>
        <w:tblInd w:w="0" w:type="dxa"/>
        <w:shd w:val="clear" w:color="auto" w:fill="auto"/>
        <w:tblLayout w:type="fixed"/>
        <w:tblCellMar>
          <w:top w:w="0" w:type="dxa"/>
          <w:left w:w="0" w:type="dxa"/>
          <w:bottom w:w="0" w:type="dxa"/>
          <w:right w:w="0" w:type="dxa"/>
        </w:tblCellMar>
      </w:tblPr>
      <w:tblGrid>
        <w:gridCol w:w="941"/>
        <w:gridCol w:w="53"/>
        <w:gridCol w:w="111"/>
        <w:gridCol w:w="3989"/>
        <w:gridCol w:w="952"/>
        <w:gridCol w:w="710"/>
        <w:gridCol w:w="1034"/>
        <w:gridCol w:w="628"/>
        <w:gridCol w:w="568"/>
        <w:gridCol w:w="694"/>
      </w:tblGrid>
      <w:tr>
        <w:tblPrEx>
          <w:shd w:val="clear" w:color="auto" w:fill="auto"/>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98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5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1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3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2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26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98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5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1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3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890"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23" w:hRule="atLeast"/>
          <w:jc w:val="center"/>
        </w:trPr>
        <w:tc>
          <w:tcPr>
            <w:tcW w:w="50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5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7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2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5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69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509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323" w:hRule="atLeast"/>
          <w:jc w:val="center"/>
        </w:trPr>
        <w:tc>
          <w:tcPr>
            <w:tcW w:w="509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18"/>
                <w:szCs w:val="18"/>
                <w:u w:val="none"/>
                <w:lang w:val="en-US" w:eastAsia="zh-CN" w:bidi="ar"/>
              </w:rPr>
              <w:t>社会保障和就业支出</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8,674.24</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758.22</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16,362.83</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20801</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人力资源和社会保障管理事务</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776.18</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619.88</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7,916.02</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2080101</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646.50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618.85</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156.31</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2080102</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6.03</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1.03</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27.65</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2080104</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综合业务管理</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56.16</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2080107</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社会保险业务管理事务</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56.16</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2080109</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社会保险经办机构</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2080110</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劳动关系和维权</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2080111</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公共就业服务和职业技能鉴定机构</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2080112</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劳动人事争议调解仲裁</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2080199</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其他人力资源和社会保障管理事务支出</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24.50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20805</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258.91</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138.34</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24.50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2080501</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16.90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16.90</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120.57</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2080505</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121.43</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121.43</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2080506</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120.57</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20807</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就业补助</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1,002.00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120.57</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2080705</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公益性岗位补贴</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1,002.00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2080799</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其他就业补助支出</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902.00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20826</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18"/>
                <w:szCs w:val="18"/>
                <w:u w:val="none"/>
                <w:lang w:val="en-US" w:eastAsia="zh-CN" w:bidi="ar"/>
              </w:rPr>
              <w:t>财政对基本养老保险基金的补助</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6,557.49</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902.00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2082601</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财政对企业职工基本养老保险基金的补助</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709.00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6,557.49</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2082602</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财政对城乡居民基本养老保险基金的补助</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5,848.49</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709.00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20899</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79.66</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5,848.49</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2089901</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79.66</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79.66</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210</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18"/>
                <w:szCs w:val="18"/>
                <w:u w:val="none"/>
                <w:lang w:val="en-US" w:eastAsia="zh-CN" w:bidi="ar"/>
              </w:rPr>
              <w:t>卫生健康支出</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8,453.49</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41.09</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79.66</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21011</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71.09</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41.09</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8,412.40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2101101</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71.09</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41.09</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30.00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21012</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18"/>
                <w:szCs w:val="18"/>
                <w:u w:val="none"/>
                <w:lang w:val="en-US" w:eastAsia="zh-CN" w:bidi="ar"/>
              </w:rPr>
              <w:t>财政对基本医疗保险基金的补助</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8,373.00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30.00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2101202</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财政对城乡居民基本医疗保险基金的补助</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8,373.00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8,373.00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21099</w:t>
            </w:r>
          </w:p>
        </w:tc>
        <w:tc>
          <w:tcPr>
            <w:tcW w:w="39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其他卫生健康支出</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9.40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8,373.00</w:t>
            </w:r>
          </w:p>
        </w:tc>
        <w:tc>
          <w:tcPr>
            <w:tcW w:w="6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rPr>
          <w:rFonts w:hint="default"/>
          <w:lang w:val="en-US" w:eastAsia="zh-CN"/>
        </w:rPr>
      </w:pPr>
      <w:r>
        <w:rPr>
          <w:rFonts w:hint="default"/>
          <w:lang w:val="en-US" w:eastAsia="zh-CN"/>
        </w:rPr>
        <w:br w:type="page"/>
      </w:r>
    </w:p>
    <w:tbl>
      <w:tblPr>
        <w:tblStyle w:val="7"/>
        <w:tblW w:w="10002" w:type="dxa"/>
        <w:jc w:val="center"/>
        <w:tblInd w:w="0" w:type="dxa"/>
        <w:shd w:val="clear" w:color="auto" w:fill="auto"/>
        <w:tblLayout w:type="fixed"/>
        <w:tblCellMar>
          <w:top w:w="0" w:type="dxa"/>
          <w:left w:w="0" w:type="dxa"/>
          <w:bottom w:w="0" w:type="dxa"/>
          <w:right w:w="0" w:type="dxa"/>
        </w:tblCellMar>
      </w:tblPr>
      <w:tblGrid>
        <w:gridCol w:w="2922"/>
        <w:gridCol w:w="267"/>
        <w:gridCol w:w="1034"/>
        <w:gridCol w:w="2879"/>
        <w:gridCol w:w="324"/>
        <w:gridCol w:w="1001"/>
        <w:gridCol w:w="952"/>
        <w:gridCol w:w="623"/>
      </w:tblGrid>
      <w:tr>
        <w:tblPrEx>
          <w:shd w:val="clear" w:color="auto" w:fill="auto"/>
          <w:tblLayout w:type="fixed"/>
          <w:tblCellMar>
            <w:top w:w="0" w:type="dxa"/>
            <w:left w:w="0" w:type="dxa"/>
            <w:bottom w:w="0" w:type="dxa"/>
            <w:right w:w="0" w:type="dxa"/>
          </w:tblCellMar>
        </w:tblPrEx>
        <w:trPr>
          <w:trHeight w:val="355" w:hRule="atLeast"/>
          <w:jc w:val="center"/>
        </w:trPr>
        <w:tc>
          <w:tcPr>
            <w:tcW w:w="10002" w:type="dxa"/>
            <w:gridSpan w:val="8"/>
            <w:tcBorders>
              <w:top w:val="nil"/>
              <w:left w:val="nil"/>
              <w:bottom w:val="nil"/>
              <w:right w:val="nil"/>
            </w:tcBorders>
            <w:shd w:val="clear" w:color="auto" w:fill="auto"/>
            <w:tcMar>
              <w:top w:w="15" w:type="dxa"/>
              <w:left w:w="15" w:type="dxa"/>
              <w:right w:w="15" w:type="dxa"/>
            </w:tcMar>
            <w:vAlign w:val="bottom"/>
          </w:tcPr>
          <w:p>
            <w:pPr>
              <w:jc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财政拨款收入支出决算总表</w:t>
            </w:r>
          </w:p>
        </w:tc>
      </w:tr>
      <w:tr>
        <w:tblPrEx>
          <w:tblLayout w:type="fixed"/>
          <w:tblCellMar>
            <w:top w:w="0" w:type="dxa"/>
            <w:left w:w="0" w:type="dxa"/>
            <w:bottom w:w="0" w:type="dxa"/>
            <w:right w:w="0" w:type="dxa"/>
          </w:tblCellMar>
        </w:tblPrEx>
        <w:trPr>
          <w:trHeight w:val="145"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2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3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87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2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576"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3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87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2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576"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90" w:hRule="atLeast"/>
          <w:jc w:val="center"/>
        </w:trPr>
        <w:tc>
          <w:tcPr>
            <w:tcW w:w="422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5779"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Layout w:type="fixed"/>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3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8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0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5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62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r>
      <w:tr>
        <w:tblPrEx>
          <w:tblLayout w:type="fixed"/>
          <w:tblCellMar>
            <w:top w:w="0" w:type="dxa"/>
            <w:left w:w="0" w:type="dxa"/>
            <w:bottom w:w="0" w:type="dxa"/>
            <w:right w:w="0" w:type="dxa"/>
          </w:tblCellMar>
        </w:tblPrEx>
        <w:trPr>
          <w:trHeight w:val="68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栏次</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17,243.29</w:t>
            </w: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8,674.24</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8,674.24</w:t>
            </w: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8,453.49</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8,453.49</w:t>
            </w: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34.41</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34.41</w:t>
            </w: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十八、自然资源海洋气象等支出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80.90</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80.90</w:t>
            </w: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17,243.29</w:t>
            </w: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17,243.04</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17,243.04</w:t>
            </w: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17.24</w:t>
            </w: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17.49</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17.49</w:t>
            </w: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17,260.53</w:t>
            </w: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17,260.53</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17,260.53</w:t>
            </w: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17,243.29</w:t>
            </w:r>
          </w:p>
        </w:tc>
        <w:tc>
          <w:tcPr>
            <w:tcW w:w="28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p>
    <w:tbl>
      <w:tblPr>
        <w:tblStyle w:val="7"/>
        <w:tblW w:w="9990" w:type="dxa"/>
        <w:jc w:val="center"/>
        <w:tblInd w:w="0" w:type="dxa"/>
        <w:shd w:val="clear" w:color="auto" w:fill="auto"/>
        <w:tblLayout w:type="fixed"/>
        <w:tblCellMar>
          <w:top w:w="0" w:type="dxa"/>
          <w:left w:w="0" w:type="dxa"/>
          <w:bottom w:w="0" w:type="dxa"/>
          <w:right w:w="0" w:type="dxa"/>
        </w:tblCellMar>
      </w:tblPr>
      <w:tblGrid>
        <w:gridCol w:w="1174"/>
        <w:gridCol w:w="67"/>
        <w:gridCol w:w="67"/>
        <w:gridCol w:w="4137"/>
        <w:gridCol w:w="1673"/>
        <w:gridCol w:w="1642"/>
        <w:gridCol w:w="1230"/>
      </w:tblGrid>
      <w:tr>
        <w:tblPrEx>
          <w:shd w:val="clear" w:color="auto" w:fill="auto"/>
          <w:tblLayout w:type="fixed"/>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13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67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87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13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67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87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jc w:val="center"/>
        </w:trPr>
        <w:tc>
          <w:tcPr>
            <w:tcW w:w="54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54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Layout w:type="fixed"/>
          <w:tblCellMar>
            <w:top w:w="0" w:type="dxa"/>
            <w:left w:w="0" w:type="dxa"/>
            <w:bottom w:w="0" w:type="dxa"/>
            <w:right w:w="0" w:type="dxa"/>
          </w:tblCellMar>
        </w:tblPrEx>
        <w:trPr>
          <w:trHeight w:val="308"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13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7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4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Layout w:type="fixed"/>
          <w:tblCellMar>
            <w:top w:w="0" w:type="dxa"/>
            <w:left w:w="0" w:type="dxa"/>
            <w:bottom w:w="0" w:type="dxa"/>
            <w:right w:w="0" w:type="dxa"/>
          </w:tblCellMar>
        </w:tblPrEx>
        <w:trPr>
          <w:trHeight w:val="277"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3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3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5445"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trHeight w:val="308" w:hRule="atLeast"/>
          <w:jc w:val="center"/>
        </w:trPr>
        <w:tc>
          <w:tcPr>
            <w:tcW w:w="5445"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8,674.24</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758.22</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7,916.02</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20801</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人力资源和社会保障管理事务</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776.18</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619.88</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156.31</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2080101</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646.50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618.85</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27.65</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2080102</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6.03</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1.03</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2080104</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综合业务管理</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56.16</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56.16</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2080107</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社会保险业务管理事务</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20.00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2080109</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社会保险经办机构</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2080110</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劳动关系和维权</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2080111</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公共就业服务和职业技能鉴定机构</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5.00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2080112</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劳动人事争议调解仲裁</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2080199</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其他人力资源和社会保障管理事务支出</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24.50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24.50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20805</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258.91</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138.34</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120.57</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2080501</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16.90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16.90</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2080505</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121.43</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121.43</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2080506</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120.57</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120.57</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20807</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就业补助</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1,002.00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1,002.00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2080705</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公益性岗位补贴</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100.00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2080799</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其他就业补助支出</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902.00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902.00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20826</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财政对基本养老保险基金的补助</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6,557.49</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6,557.49</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2082601</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财政对企业职工基本养老保险基金的补助</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709.00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709.00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2082602</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财政对城乡居民基本养老保险基金的补助</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5,848.49</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5,848.49</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20899</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79.66</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79.66</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2089901</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79.66</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79.66</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210</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卫生健康支出</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8,453.49</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41.09</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8,412.40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21011</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71.09</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41.09</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30.00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2101101</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71.09</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41.09</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30.00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21012</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财政对基本医疗保险基金的补助</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8,373.00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8,373.00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2101202</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财政对城乡居民基本医疗保险基金的补助</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8,373.00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8,373.00</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21099</w:t>
            </w:r>
          </w:p>
        </w:tc>
        <w:tc>
          <w:tcPr>
            <w:tcW w:w="41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其他卫生健康支出</w:t>
            </w:r>
          </w:p>
        </w:tc>
        <w:tc>
          <w:tcPr>
            <w:tcW w:w="16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9.40</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9.40</w:t>
            </w:r>
          </w:p>
        </w:tc>
      </w:tr>
    </w:tbl>
    <w:p>
      <w:pPr>
        <w:rPr>
          <w:rFonts w:hint="default"/>
          <w:lang w:val="en-US" w:eastAsia="zh-CN"/>
        </w:rPr>
      </w:pPr>
      <w:r>
        <w:rPr>
          <w:rFonts w:hint="default"/>
          <w:lang w:val="en-US" w:eastAsia="zh-CN"/>
        </w:rPr>
        <w:br w:type="page"/>
      </w:r>
    </w:p>
    <w:tbl>
      <w:tblPr>
        <w:tblStyle w:val="7"/>
        <w:tblW w:w="10139" w:type="dxa"/>
        <w:jc w:val="center"/>
        <w:tblInd w:w="0" w:type="dxa"/>
        <w:shd w:val="clear" w:color="auto" w:fill="auto"/>
        <w:tblLayout w:type="fixed"/>
        <w:tblCellMar>
          <w:top w:w="0" w:type="dxa"/>
          <w:left w:w="0" w:type="dxa"/>
          <w:bottom w:w="0" w:type="dxa"/>
          <w:right w:w="0" w:type="dxa"/>
        </w:tblCellMar>
      </w:tblPr>
      <w:tblGrid>
        <w:gridCol w:w="803"/>
        <w:gridCol w:w="2473"/>
        <w:gridCol w:w="750"/>
        <w:gridCol w:w="710"/>
        <w:gridCol w:w="1703"/>
        <w:gridCol w:w="608"/>
        <w:gridCol w:w="729"/>
        <w:gridCol w:w="1845"/>
        <w:gridCol w:w="518"/>
      </w:tblGrid>
      <w:tr>
        <w:tblPrEx>
          <w:shd w:val="clear" w:color="auto" w:fill="auto"/>
          <w:tblLayout w:type="fixed"/>
          <w:tblCellMar>
            <w:top w:w="0" w:type="dxa"/>
            <w:left w:w="0" w:type="dxa"/>
            <w:bottom w:w="0" w:type="dxa"/>
            <w:right w:w="0" w:type="dxa"/>
          </w:tblCellMar>
        </w:tblPrEx>
        <w:trPr>
          <w:trHeight w:val="497" w:hRule="atLeast"/>
          <w:jc w:val="center"/>
        </w:trPr>
        <w:tc>
          <w:tcPr>
            <w:tcW w:w="10139"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293" w:hRule="atLeast"/>
          <w:jc w:val="center"/>
        </w:trPr>
        <w:tc>
          <w:tcPr>
            <w:tcW w:w="803"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247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1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70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0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2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6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Layout w:type="fixed"/>
          <w:tblCellMar>
            <w:top w:w="0" w:type="dxa"/>
            <w:left w:w="0" w:type="dxa"/>
            <w:bottom w:w="0" w:type="dxa"/>
            <w:right w:w="0" w:type="dxa"/>
          </w:tblCellMar>
        </w:tblPrEx>
        <w:trPr>
          <w:trHeight w:val="253" w:hRule="atLeast"/>
          <w:jc w:val="center"/>
        </w:trPr>
        <w:tc>
          <w:tcPr>
            <w:tcW w:w="803"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47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1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70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0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2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6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Layout w:type="fixed"/>
          <w:tblCellMar>
            <w:top w:w="0" w:type="dxa"/>
            <w:left w:w="0" w:type="dxa"/>
            <w:bottom w:w="0" w:type="dxa"/>
            <w:right w:w="0" w:type="dxa"/>
          </w:tblCellMar>
        </w:tblPrEx>
        <w:trPr>
          <w:trHeight w:val="266" w:hRule="atLeast"/>
          <w:jc w:val="center"/>
        </w:trPr>
        <w:tc>
          <w:tcPr>
            <w:tcW w:w="40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6113"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Layout w:type="fixed"/>
          <w:tblCellMar>
            <w:top w:w="0" w:type="dxa"/>
            <w:left w:w="0" w:type="dxa"/>
            <w:bottom w:w="0" w:type="dxa"/>
            <w:right w:w="0" w:type="dxa"/>
          </w:tblCellMar>
        </w:tblPrEx>
        <w:trPr>
          <w:trHeight w:val="362" w:hRule="atLeast"/>
          <w:jc w:val="center"/>
        </w:trPr>
        <w:tc>
          <w:tcPr>
            <w:tcW w:w="80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247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7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8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Layout w:type="fixed"/>
          <w:tblCellMar>
            <w:top w:w="0" w:type="dxa"/>
            <w:left w:w="0" w:type="dxa"/>
            <w:bottom w:w="0" w:type="dxa"/>
            <w:right w:w="0" w:type="dxa"/>
          </w:tblCellMar>
        </w:tblPrEx>
        <w:trPr>
          <w:trHeight w:val="312" w:hRule="atLeast"/>
          <w:jc w:val="center"/>
        </w:trPr>
        <w:tc>
          <w:tcPr>
            <w:tcW w:w="8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768.40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91.76</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421.26</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7.10</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52.00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7.18</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1.00</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0.12</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3.43</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121.43</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16.79</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18.94</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7.00</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41.09</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2.25</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1.89</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80.90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2.52</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30.53</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20.04</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2.80</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16.90</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3.14</w:t>
            </w: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2.87</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6.00</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15.96</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5"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2" w:hRule="atLeast"/>
          <w:jc w:val="center"/>
        </w:trPr>
        <w:tc>
          <w:tcPr>
            <w:tcW w:w="8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24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6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17.10</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7" w:hRule="atLeast"/>
          <w:jc w:val="center"/>
        </w:trPr>
        <w:tc>
          <w:tcPr>
            <w:tcW w:w="327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788.45</w:t>
            </w:r>
          </w:p>
        </w:tc>
        <w:tc>
          <w:tcPr>
            <w:tcW w:w="559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5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91.8</w:t>
            </w:r>
          </w:p>
        </w:tc>
      </w:tr>
    </w:tbl>
    <w:p>
      <w:pPr>
        <w:rPr>
          <w:rFonts w:hint="default"/>
          <w:lang w:val="en-US" w:eastAsia="zh-CN"/>
        </w:rPr>
      </w:pPr>
      <w:r>
        <w:rPr>
          <w:rFonts w:hint="default"/>
          <w:lang w:val="en-US" w:eastAsia="zh-CN"/>
        </w:rPr>
        <w:br w:type="page"/>
      </w:r>
    </w:p>
    <w:tbl>
      <w:tblPr>
        <w:tblStyle w:val="7"/>
        <w:tblW w:w="9220" w:type="dxa"/>
        <w:jc w:val="center"/>
        <w:tblInd w:w="0" w:type="dxa"/>
        <w:shd w:val="clear" w:color="auto" w:fill="auto"/>
        <w:tblLayout w:type="fixed"/>
        <w:tblCellMar>
          <w:top w:w="0" w:type="dxa"/>
          <w:left w:w="0" w:type="dxa"/>
          <w:bottom w:w="0" w:type="dxa"/>
          <w:right w:w="0" w:type="dxa"/>
        </w:tblCellMar>
      </w:tblPr>
      <w:tblGrid>
        <w:gridCol w:w="1267"/>
        <w:gridCol w:w="1686"/>
        <w:gridCol w:w="1565"/>
        <w:gridCol w:w="1565"/>
        <w:gridCol w:w="1565"/>
        <w:gridCol w:w="1572"/>
      </w:tblGrid>
      <w:tr>
        <w:tblPrEx>
          <w:shd w:val="clear" w:color="auto" w:fill="auto"/>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68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6.0</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6.0</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6.0</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6.0</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6.0</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eastAsia" w:ascii="宋体" w:hAnsi="宋体" w:eastAsia="宋体" w:cs="宋体"/>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br w:type="page"/>
      </w:r>
    </w:p>
    <w:tbl>
      <w:tblPr>
        <w:tblStyle w:val="7"/>
        <w:tblW w:w="9510" w:type="dxa"/>
        <w:jc w:val="center"/>
        <w:tblInd w:w="0" w:type="dxa"/>
        <w:shd w:val="clear" w:color="auto" w:fill="auto"/>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shd w:val="clear" w:color="auto" w:fill="auto"/>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08"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ascii="宋体" w:hAnsi="宋体" w:eastAsia="宋体" w:cs="宋体"/>
          <w:b w:val="0"/>
          <w:bCs w:val="0"/>
          <w:sz w:val="24"/>
          <w:szCs w:val="24"/>
          <w:highlight w:val="none"/>
          <w:lang w:eastAsia="zh-CN"/>
        </w:rPr>
      </w:pPr>
    </w:p>
    <w:p>
      <w:pPr>
        <w:rPr>
          <w:rFonts w:hint="default"/>
          <w:lang w:val="en-US" w:eastAsia="zh-CN"/>
        </w:rPr>
      </w:pPr>
      <w:r>
        <w:rPr>
          <w:rFonts w:hint="eastAsia" w:ascii="宋体" w:hAnsi="宋体" w:eastAsia="宋体" w:cs="宋体"/>
          <w:b w:val="0"/>
          <w:bCs w:val="0"/>
          <w:sz w:val="24"/>
          <w:szCs w:val="24"/>
          <w:highlight w:val="none"/>
          <w:lang w:eastAsia="zh-CN"/>
        </w:rPr>
        <w:t>注：</w:t>
      </w:r>
      <w:r>
        <w:rPr>
          <w:rFonts w:hint="eastAsia" w:ascii="宋体" w:hAnsi="宋体" w:eastAsia="宋体" w:cs="宋体"/>
          <w:b w:val="0"/>
          <w:bCs w:val="0"/>
          <w:sz w:val="24"/>
          <w:szCs w:val="24"/>
          <w:highlight w:val="none"/>
        </w:rPr>
        <w:t>本部门本年度无相关收入（或支出、收支及结转结余等）情况，按要求空表列示。</w:t>
      </w:r>
      <w:r>
        <w:rPr>
          <w:rFonts w:hint="default"/>
          <w:lang w:val="en-US" w:eastAsia="zh-CN"/>
        </w:rPr>
        <w:br w:type="page"/>
      </w:r>
    </w:p>
    <w:tbl>
      <w:tblPr>
        <w:tblStyle w:val="7"/>
        <w:tblW w:w="9915" w:type="dxa"/>
        <w:jc w:val="center"/>
        <w:tblInd w:w="0" w:type="dxa"/>
        <w:shd w:val="clear" w:color="auto" w:fill="auto"/>
        <w:tblLayout w:type="fixed"/>
        <w:tblCellMar>
          <w:top w:w="0" w:type="dxa"/>
          <w:left w:w="0" w:type="dxa"/>
          <w:bottom w:w="0" w:type="dxa"/>
          <w:right w:w="0" w:type="dxa"/>
        </w:tblCellMar>
      </w:tblPr>
      <w:tblGrid>
        <w:gridCol w:w="1288"/>
        <w:gridCol w:w="74"/>
        <w:gridCol w:w="74"/>
        <w:gridCol w:w="3798"/>
        <w:gridCol w:w="961"/>
        <w:gridCol w:w="1860"/>
        <w:gridCol w:w="1860"/>
      </w:tblGrid>
      <w:tr>
        <w:tblPrEx>
          <w:shd w:val="clear" w:color="auto" w:fill="auto"/>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ascii="宋体" w:hAnsi="宋体" w:eastAsia="宋体" w:cs="宋体"/>
          <w:b w:val="0"/>
          <w:bCs w:val="0"/>
          <w:sz w:val="24"/>
          <w:szCs w:val="24"/>
          <w:highlight w:val="none"/>
          <w:lang w:eastAsia="zh-CN"/>
        </w:rPr>
      </w:pPr>
    </w:p>
    <w:p>
      <w:pPr>
        <w:rPr>
          <w:rFonts w:hint="default"/>
          <w:lang w:val="en-US" w:eastAsia="zh-CN"/>
        </w:rPr>
      </w:pPr>
      <w:r>
        <w:rPr>
          <w:rFonts w:hint="eastAsia" w:ascii="宋体" w:hAnsi="宋体" w:eastAsia="宋体" w:cs="宋体"/>
          <w:b w:val="0"/>
          <w:bCs w:val="0"/>
          <w:sz w:val="24"/>
          <w:szCs w:val="24"/>
          <w:highlight w:val="none"/>
          <w:lang w:eastAsia="zh-CN"/>
        </w:rPr>
        <w:t>注：</w:t>
      </w:r>
      <w:r>
        <w:rPr>
          <w:rFonts w:hint="eastAsia" w:ascii="宋体" w:hAnsi="宋体" w:eastAsia="宋体" w:cs="宋体"/>
          <w:b w:val="0"/>
          <w:bCs w:val="0"/>
          <w:sz w:val="24"/>
          <w:szCs w:val="24"/>
          <w:highlight w:val="none"/>
        </w:rPr>
        <w:t>本部门本年度无相关收入（或支出、收支及结转结余等）情况，按要求空表列示。</w:t>
      </w:r>
      <w:r>
        <w:rPr>
          <w:rFonts w:hint="default"/>
          <w:lang w:val="en-US" w:eastAsia="zh-CN"/>
        </w:rPr>
        <w:br w:type="page"/>
      </w:r>
    </w:p>
    <w:p>
      <w:pPr>
        <w:bidi w:val="0"/>
        <w:jc w:val="both"/>
        <w:rPr>
          <w:rFonts w:hint="default"/>
          <w:lang w:val="en-US" w:eastAsia="zh-CN"/>
        </w:rPr>
      </w:pPr>
      <w:r>
        <w:rPr>
          <w:sz w:val="21"/>
        </w:rPr>
        <mc:AlternateContent>
          <mc:Choice Requires="wps">
            <w:drawing>
              <wp:anchor distT="0" distB="0" distL="114300" distR="114300" simplePos="0" relativeHeight="994148352"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99414835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2" w:type="first"/>
      <w:headerReference r:id="rId21" w:type="default"/>
      <w:footerReference r:id="rId23" w:type="default"/>
      <w:pgSz w:w="11906" w:h="16838"/>
      <w:pgMar w:top="1701" w:right="1417" w:bottom="1281"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20B0800000000000000"/>
    <w:charset w:val="86"/>
    <w:family w:val="swiss"/>
    <w:pitch w:val="default"/>
    <w:sig w:usb0="00000000" w:usb1="00000000" w:usb2="00000016" w:usb3="00000000" w:csb0="002E0107" w:csb1="00000000"/>
  </w:font>
  <w:font w:name="微软雅黑">
    <w:panose1 w:val="020B0503020204020204"/>
    <w:charset w:val="86"/>
    <w:family w:val="auto"/>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fill on="f" focussize="0,0"/>
              <v:stroke on="f" weight="0.5pt"/>
              <v:imagedata o:title=""/>
              <o:lock v:ext="edit" aspectratio="f"/>
              <v:textbox inset="0mm,0mm,0mm,0mm">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fill on="f" focussize="0,0"/>
              <v:stroke on="f" weight="0.5pt"/>
              <v:imagedata o:title=""/>
              <o:lock v:ext="edit" aspectratio="f"/>
              <v:textbox inset="0mm,0mm,0mm,0mm">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70636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970B4"/>
    <w:multiLevelType w:val="singleLevel"/>
    <w:tmpl w:val="AA7970B4"/>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222FFA"/>
    <w:multiLevelType w:val="singleLevel"/>
    <w:tmpl w:val="5F222FF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6A900BC"/>
    <w:rsid w:val="1D83005B"/>
    <w:rsid w:val="2DF70CFC"/>
    <w:rsid w:val="31C2036A"/>
    <w:rsid w:val="320D02A5"/>
    <w:rsid w:val="34376C04"/>
    <w:rsid w:val="348E566F"/>
    <w:rsid w:val="36D86A5C"/>
    <w:rsid w:val="3799142C"/>
    <w:rsid w:val="3A226944"/>
    <w:rsid w:val="3AEE6A48"/>
    <w:rsid w:val="3C1620AA"/>
    <w:rsid w:val="3D8F080F"/>
    <w:rsid w:val="44CE1FA4"/>
    <w:rsid w:val="487F73ED"/>
    <w:rsid w:val="4A347EAE"/>
    <w:rsid w:val="52600405"/>
    <w:rsid w:val="529B4319"/>
    <w:rsid w:val="556A4CA3"/>
    <w:rsid w:val="57773DD6"/>
    <w:rsid w:val="578B79AB"/>
    <w:rsid w:val="5B024001"/>
    <w:rsid w:val="5CCD3FD5"/>
    <w:rsid w:val="5D5463A2"/>
    <w:rsid w:val="61FA5F9D"/>
    <w:rsid w:val="64CD6910"/>
    <w:rsid w:val="6789158D"/>
    <w:rsid w:val="67B856DA"/>
    <w:rsid w:val="67D81BA4"/>
    <w:rsid w:val="6AAF1C96"/>
    <w:rsid w:val="75681757"/>
    <w:rsid w:val="75A346A8"/>
    <w:rsid w:val="79B9382C"/>
    <w:rsid w:val="7A9B239B"/>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eastAsia="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heme="minorAscii" w:hAnsiTheme="minorAscii" w:eastAsiaTheme="minorEastAsia"/>
      <w:sz w:val="18"/>
      <w:szCs w:val="18"/>
    </w:rPr>
  </w:style>
  <w:style w:type="table" w:styleId="8">
    <w:name w:val="Table Grid"/>
    <w:qFormat/>
    <w:uiPriority w:val="1"/>
    <w:pPr>
      <w:spacing w:after="0" w:line="240" w:lineRule="auto"/>
    </w:pPr>
    <w:rPr>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字符"/>
    <w:basedOn w:val="6"/>
    <w:link w:val="5"/>
    <w:qFormat/>
    <w:uiPriority w:val="99"/>
    <w:rPr>
      <w:rFonts w:asciiTheme="minorAscii" w:hAnsiTheme="minorAscii" w:eastAsiaTheme="minorEastAsia"/>
      <w:sz w:val="18"/>
      <w:szCs w:val="18"/>
    </w:rPr>
  </w:style>
  <w:style w:type="character" w:customStyle="1" w:styleId="10">
    <w:name w:val="页脚 字符"/>
    <w:basedOn w:val="6"/>
    <w:link w:val="4"/>
    <w:qFormat/>
    <w:uiPriority w:val="99"/>
    <w:rPr>
      <w:sz w:val="18"/>
      <w:szCs w:val="18"/>
    </w:rPr>
  </w:style>
  <w:style w:type="paragraph" w:customStyle="1" w:styleId="11">
    <w:name w:val="List Paragraph"/>
    <w:basedOn w:val="1"/>
    <w:qFormat/>
    <w:uiPriority w:val="1"/>
    <w:pPr>
      <w:spacing w:before="2"/>
      <w:ind w:left="119" w:right="434" w:firstLine="643"/>
      <w:jc w:val="both"/>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bmp"/><Relationship Id="rId24" Type="http://schemas.openxmlformats.org/officeDocument/2006/relationships/theme" Target="theme/theme1.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F299C-5D08-4D94-9343-26C73D8AA868}">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32</Pages>
  <Words>8183</Words>
  <Characters>9115</Characters>
  <Lines>1</Lines>
  <Paragraphs>1</Paragraphs>
  <TotalTime>4</TotalTime>
  <ScaleCrop>false</ScaleCrop>
  <LinksUpToDate>false</LinksUpToDate>
  <CharactersWithSpaces>9394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2020-08-25T05:48:40Z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